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7</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hint="eastAsia" w:eastAsia="Batang"/>
          <w:b/>
          <w:sz w:val="24"/>
          <w:szCs w:val="24"/>
          <w:lang w:eastAsia="ja-JP"/>
        </w:rPr>
        <w:t>R1-21</w:t>
      </w:r>
      <w:bookmarkEnd w:id="0"/>
      <w:r>
        <w:rPr>
          <w:rFonts w:hint="eastAsia"/>
          <w:b/>
          <w:sz w:val="24"/>
          <w:szCs w:val="24"/>
        </w:rPr>
        <w:t>10941</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Nov</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Nov</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Further discussion on potential power saving schemes for RRC connected UEs</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8.7.</w:t>
      </w:r>
      <w:r>
        <w:rPr>
          <w:rFonts w:hint="eastAsia"/>
          <w:b/>
          <w:sz w:val="22"/>
          <w:szCs w:val="22"/>
        </w:rPr>
        <w:t>3</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rPr>
          <w:sz w:val="20"/>
        </w:rPr>
      </w:pPr>
      <w:r>
        <w:t>In RAN1#10</w:t>
      </w:r>
      <w:r>
        <w:rPr>
          <w:rFonts w:hint="eastAsia"/>
        </w:rPr>
        <w:t>6</w:t>
      </w:r>
      <w:r>
        <w:t>-e meeting,</w:t>
      </w:r>
      <w:r>
        <w:rPr>
          <w:rFonts w:hint="eastAsia"/>
        </w:rPr>
        <w:t xml:space="preserve"> </w:t>
      </w:r>
      <w:r>
        <w:t xml:space="preserve">a framework supporting </w:t>
      </w:r>
      <w:r>
        <w:rPr>
          <w:rFonts w:hint="eastAsia"/>
        </w:rPr>
        <w:t xml:space="preserve">both PDCCH skipping and SSSG switching behaviors </w:t>
      </w:r>
      <w:r>
        <w:t>was agreed</w:t>
      </w:r>
      <w:r>
        <w:rPr>
          <w:rFonts w:hint="eastAsia"/>
        </w:rPr>
        <w:t xml:space="preserve"> [1]. In this contribution, the power saving gain and latency of the PDCCH adaptation schemes including SSSG switching, PDCCH skipping and a common design </w:t>
      </w:r>
      <w:r>
        <w:t>of</w:t>
      </w:r>
      <w:r>
        <w:rPr>
          <w:rFonts w:hint="eastAsia"/>
        </w:rPr>
        <w:t xml:space="preserve"> SSSG switching and PDCCH skipping are evaluated. S</w:t>
      </w:r>
      <w:r>
        <w:t>uggestion</w:t>
      </w:r>
      <w:r>
        <w:rPr>
          <w:rFonts w:hint="eastAsia"/>
        </w:rPr>
        <w:t>s</w:t>
      </w:r>
      <w:r>
        <w:t xml:space="preserve"> of PDCCH adaptation</w:t>
      </w:r>
      <w:r>
        <w:rPr>
          <w:rFonts w:hint="eastAsia"/>
        </w:rPr>
        <w:t xml:space="preserve"> configurations which are beneficial to UE power saving are </w:t>
      </w:r>
      <w:r>
        <w:t>provided</w:t>
      </w:r>
      <w:r>
        <w:rPr>
          <w:rFonts w:hint="eastAsia"/>
        </w:rPr>
        <w:t>.</w:t>
      </w: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Evaluation of the potential PDCCH adaptation schemes</w:t>
      </w:r>
    </w:p>
    <w:p>
      <w:pPr>
        <w:spacing w:before="120" w:after="120"/>
      </w:pPr>
      <w:r>
        <w:rPr>
          <w:rFonts w:hint="eastAsia"/>
        </w:rPr>
        <w:t>To evaluate the power saving gain from different schemes, the assumption of a baseline, PDCCH skipping, SSSG switching and common design for SSSG and PDCCH skipping are discussed in this section.</w:t>
      </w:r>
    </w:p>
    <w:p>
      <w:pPr>
        <w:numPr>
          <w:ilvl w:val="0"/>
          <w:numId w:val="8"/>
        </w:numPr>
        <w:spacing w:before="120" w:after="120"/>
      </w:pPr>
      <w:r>
        <w:rPr>
          <w:rFonts w:hint="eastAsia"/>
        </w:rPr>
        <w:t xml:space="preserve">Baseline </w:t>
      </w:r>
    </w:p>
    <w:p>
      <w:pPr>
        <w:spacing w:before="120" w:after="120"/>
      </w:pPr>
      <w:r>
        <w:rPr>
          <w:rFonts w:hint="eastAsia"/>
        </w:rPr>
        <w:t xml:space="preserve">In </w:t>
      </w:r>
      <w:r>
        <w:t xml:space="preserve">the </w:t>
      </w:r>
      <w:r>
        <w:rPr>
          <w:rFonts w:hint="eastAsia"/>
        </w:rPr>
        <w:t>baseline, several techniques such as DRX, BWP switching, maximum number of MIMO layer adaptation, cross</w:t>
      </w:r>
      <w:r>
        <w:t>-</w:t>
      </w:r>
      <w:r>
        <w:rPr>
          <w:rFonts w:hint="eastAsia"/>
        </w:rPr>
        <w:t xml:space="preserve">slot scheduling are </w:t>
      </w:r>
      <w:r>
        <w:t>considered</w:t>
      </w:r>
      <w:r>
        <w:rPr>
          <w:rFonts w:hint="eastAsia"/>
        </w:rPr>
        <w:t>. The BWP configuration</w:t>
      </w:r>
      <w:r>
        <w:t>s</w:t>
      </w:r>
      <w:r>
        <w:rPr>
          <w:rFonts w:hint="eastAsia"/>
        </w:rPr>
        <w:t xml:space="preserve"> are shown in Table 1. </w:t>
      </w:r>
      <w:r>
        <w:t>M</w:t>
      </w:r>
      <w:r>
        <w:rPr>
          <w:rFonts w:hint="eastAsia"/>
        </w:rPr>
        <w:t>ore detail</w:t>
      </w:r>
      <w:r>
        <w:t>ed</w:t>
      </w:r>
      <w:r>
        <w:rPr>
          <w:rFonts w:hint="eastAsia"/>
        </w:rPr>
        <w:t xml:space="preserve"> simulation assumptions can be found in A.1 in Appendix. </w:t>
      </w:r>
    </w:p>
    <w:p>
      <w:pPr>
        <w:spacing w:before="120" w:after="120"/>
        <w:jc w:val="center"/>
      </w:pPr>
      <w:r>
        <w:rPr>
          <w:rFonts w:hint="eastAsia"/>
        </w:rPr>
        <w:t>Table 1 BWP setting</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4"/>
        <w:gridCol w:w="2234"/>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BWP setting</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BWP</w:t>
            </w:r>
            <w:r>
              <w:rPr>
                <w:rFonts w:hint="eastAsia" w:ascii="Times New Roman" w:hAnsi="Times New Roman" w:cs="Times New Roman"/>
                <w:sz w:val="20"/>
                <w:szCs w:val="20"/>
              </w:rPr>
              <w:t xml:space="preserve"> for power saving</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BWP</w:t>
            </w:r>
            <w:r>
              <w:rPr>
                <w:rFonts w:hint="eastAsia" w:ascii="Times New Roman" w:hAnsi="Times New Roman" w:cs="Times New Roman"/>
                <w:sz w:val="20"/>
                <w:szCs w:val="20"/>
              </w:rPr>
              <w:t xml:space="preserve"> for data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Frequency range</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FR1</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Bandwidth(MHz)</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Maximum DL MIMO layer</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Same/Cross-</w:t>
            </w:r>
            <w:r>
              <w:rPr>
                <w:rFonts w:hint="eastAsia" w:ascii="Times New Roman" w:hAnsi="Times New Roman" w:cs="Times New Roman"/>
                <w:sz w:val="20"/>
                <w:szCs w:val="20"/>
              </w:rPr>
              <w:t>S</w:t>
            </w:r>
            <w:r>
              <w:rPr>
                <w:rFonts w:ascii="Times New Roman" w:hAnsi="Times New Roman" w:cs="Times New Roman"/>
                <w:sz w:val="20"/>
                <w:szCs w:val="20"/>
              </w:rPr>
              <w:t>cheduling</w:t>
            </w:r>
          </w:p>
        </w:tc>
        <w:tc>
          <w:tcPr>
            <w:tcW w:w="2234" w:type="dxa"/>
            <w:vAlign w:val="center"/>
          </w:tcPr>
          <w:p>
            <w:pPr>
              <w:pStyle w:val="15"/>
              <w:tabs>
                <w:tab w:val="left" w:pos="2369"/>
              </w:tabs>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Cross-slot scheduling</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Same-slot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wordWrap w:val="0"/>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PDCCH monitoring duration</w:t>
            </w:r>
          </w:p>
        </w:tc>
        <w:tc>
          <w:tcPr>
            <w:tcW w:w="4533" w:type="dxa"/>
            <w:gridSpan w:val="2"/>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wordWrap w:val="0"/>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PDCCH monitoring periodicity</w:t>
            </w:r>
          </w:p>
        </w:tc>
        <w:tc>
          <w:tcPr>
            <w:tcW w:w="2234" w:type="dxa"/>
            <w:vAlign w:val="center"/>
          </w:tcPr>
          <w:p>
            <w:pPr>
              <w:pStyle w:val="15"/>
              <w:tabs>
                <w:tab w:val="left" w:pos="2369"/>
              </w:tabs>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2 slots</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1</w:t>
            </w:r>
            <w:r>
              <w:rPr>
                <w:rFonts w:hint="eastAsia" w:ascii="Times New Roman" w:hAnsi="Times New Roman" w:cs="Times New Roman"/>
                <w:sz w:val="20"/>
                <w:szCs w:val="20"/>
              </w:rPr>
              <w:t xml:space="preserve"> </w:t>
            </w:r>
            <w:r>
              <w:rPr>
                <w:rFonts w:ascii="Times New Roman" w:hAnsi="Times New Roman" w:cs="Times New Roman"/>
                <w:sz w:val="20"/>
                <w:szCs w:val="20"/>
              </w:rPr>
              <w:t>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2904" w:type="dxa"/>
            <w:vAlign w:val="center"/>
          </w:tcPr>
          <w:p>
            <w:pPr>
              <w:pStyle w:val="15"/>
              <w:wordWrap w:val="0"/>
              <w:spacing w:before="120" w:after="120" w:line="260" w:lineRule="auto"/>
              <w:jc w:val="center"/>
              <w:rPr>
                <w:rFonts w:ascii="Times New Roman" w:hAnsi="Times New Roman" w:cs="Times New Roman"/>
                <w:sz w:val="20"/>
                <w:szCs w:val="20"/>
              </w:rPr>
            </w:pPr>
            <w:r>
              <w:rPr>
                <w:rFonts w:ascii="Times New Roman" w:hAnsi="Times New Roman" w:cs="Times New Roman"/>
                <w:sz w:val="20"/>
                <w:szCs w:val="20"/>
              </w:rPr>
              <w:t xml:space="preserve">BWP inactivity timer </w:t>
            </w:r>
          </w:p>
        </w:tc>
        <w:tc>
          <w:tcPr>
            <w:tcW w:w="4533" w:type="dxa"/>
            <w:gridSpan w:val="2"/>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3</w:t>
            </w:r>
            <w:r>
              <w:rPr>
                <w:rFonts w:ascii="Times New Roman" w:hAnsi="Times New Roman" w:cs="Times New Roman"/>
                <w:sz w:val="20"/>
                <w:szCs w:val="20"/>
              </w:rPr>
              <w:t>0ms</w:t>
            </w:r>
            <w:r>
              <w:rPr>
                <w:rFonts w:hint="eastAsia" w:ascii="Times New Roman" w:hAnsi="Times New Roman" w:cs="Times New Roman"/>
                <w:sz w:val="20"/>
                <w:szCs w:val="20"/>
              </w:rPr>
              <w:t xml:space="preserve"> for FTP and FTP100, 20ms for VoIP and Data-intensive traffic model</w:t>
            </w:r>
          </w:p>
        </w:tc>
      </w:tr>
    </w:tbl>
    <w:p>
      <w:pPr>
        <w:spacing w:before="120" w:after="120"/>
        <w:rPr>
          <w:szCs w:val="22"/>
        </w:rPr>
      </w:pPr>
    </w:p>
    <w:p>
      <w:pPr>
        <w:numPr>
          <w:ilvl w:val="0"/>
          <w:numId w:val="9"/>
        </w:numPr>
        <w:spacing w:before="120" w:after="120" w:line="260" w:lineRule="auto"/>
      </w:pPr>
      <w:r>
        <w:rPr>
          <w:rFonts w:hint="eastAsia"/>
        </w:rPr>
        <w:t>PDCCH skipping</w:t>
      </w:r>
    </w:p>
    <w:p>
      <w:pPr>
        <w:spacing w:before="120" w:after="120"/>
      </w:pPr>
      <w:r>
        <w:rPr>
          <w:rFonts w:hint="eastAsia"/>
        </w:rPr>
        <w:t>Besides the configurations of baseline, PDCCH skipping triggered by scheduling DCI is considered. The skipping duration is set as the value of DRX inactivity timer (DRX IAT) corresponding to each traffic model. When the UE is triggered to perform PDCCH skipping, the UE shall stop monitoring PDCCH during the skipping duration.</w:t>
      </w:r>
    </w:p>
    <w:p>
      <w:pPr>
        <w:numPr>
          <w:ilvl w:val="0"/>
          <w:numId w:val="9"/>
        </w:numPr>
        <w:spacing w:before="120" w:after="120" w:line="260" w:lineRule="auto"/>
      </w:pPr>
      <w:r>
        <w:rPr>
          <w:rFonts w:hint="eastAsia"/>
        </w:rPr>
        <w:t>SSSG switching</w:t>
      </w:r>
    </w:p>
    <w:p>
      <w:pPr>
        <w:spacing w:before="120" w:after="120"/>
      </w:pPr>
      <w:r>
        <w:rPr>
          <w:rFonts w:hint="eastAsia"/>
        </w:rPr>
        <w:t xml:space="preserve">Besides the configurations of baseline, SSSG switching triggered by scheduling DCI is considered. The UE is provided </w:t>
      </w:r>
      <w:r>
        <w:t xml:space="preserve">with </w:t>
      </w:r>
      <w:r>
        <w:rPr>
          <w:rFonts w:hint="eastAsia"/>
        </w:rPr>
        <w:t>two SSSGs which include a sparse SSSG0 with (ks0, Os0, Ts0)</w:t>
      </w:r>
      <w:r>
        <w:t xml:space="preserve"> </w:t>
      </w:r>
      <w:r>
        <w:rPr>
          <w:rFonts w:hint="eastAsia"/>
        </w:rPr>
        <w:t>=</w:t>
      </w:r>
      <w:r>
        <w:t xml:space="preserve"> </w:t>
      </w:r>
      <w:r>
        <w:rPr>
          <w:rFonts w:hint="eastAsia"/>
        </w:rPr>
        <w:t>(DRX IAT, 0, 1 slot) and a dense SSSG1 with (ks1, Os1, Ts1)</w:t>
      </w:r>
      <w:r>
        <w:t xml:space="preserve"> </w:t>
      </w:r>
      <w:r>
        <w:rPr>
          <w:rFonts w:hint="eastAsia"/>
        </w:rPr>
        <w:t>=</w:t>
      </w:r>
      <w:r>
        <w:t xml:space="preserve"> </w:t>
      </w:r>
      <w:r>
        <w:rPr>
          <w:rFonts w:hint="eastAsia"/>
        </w:rPr>
        <w:t>(1, 0, 1) slot. The configuration of SSSG0 can ensure that the absolute number of PDCCH monitoring occasions during DRX active time reduced by SSSG switching is almost equal to that reduced by PDCCH skipping. When the UE is triggered to perform SSSG switching, the UE shall stop monitoring PDCCH according to the current SSSG and start monitoring PDCCH according to the other SSSG.</w:t>
      </w:r>
    </w:p>
    <w:p>
      <w:pPr>
        <w:numPr>
          <w:ilvl w:val="0"/>
          <w:numId w:val="9"/>
        </w:numPr>
        <w:spacing w:before="120" w:after="120" w:line="260" w:lineRule="auto"/>
      </w:pPr>
      <w:r>
        <w:rPr>
          <w:rFonts w:hint="eastAsia"/>
        </w:rPr>
        <w:t>Common design of PDCCH skipping and SSSG switching</w:t>
      </w:r>
    </w:p>
    <w:p>
      <w:pPr>
        <w:spacing w:before="120" w:after="120" w:line="260" w:lineRule="auto"/>
      </w:pPr>
      <w:r>
        <w:rPr>
          <w:rFonts w:hint="eastAsia"/>
        </w:rPr>
        <w:t xml:space="preserve">Besides the configurations of baseline, </w:t>
      </w:r>
      <w:r>
        <w:t xml:space="preserve">a common design of </w:t>
      </w:r>
      <w:r>
        <w:rPr>
          <w:rFonts w:hint="eastAsia"/>
        </w:rPr>
        <w:t xml:space="preserve">two SSSGs and PDCCH skipping for a duration </w:t>
      </w:r>
      <w:r>
        <w:t>is</w:t>
      </w:r>
      <w:r>
        <w:rPr>
          <w:rFonts w:hint="eastAsia"/>
        </w:rPr>
        <w:t xml:space="preserve"> provided for the UE. The UE can be triggered by scheduling DCI to perform PDCCH monitoring according to SSSG or PDCCH skipping. The configurations of SSSGs and PDCCH skipping are shown in Table 2. The Config. 1 has two sparse SSSGs and the skipping duration=DRX IAT, while the Config. 2 has one dense SSSG, one sparse SSSG and the skipping duration=DRX IAT.</w:t>
      </w:r>
    </w:p>
    <w:p>
      <w:pPr>
        <w:spacing w:before="120" w:after="120"/>
        <w:jc w:val="center"/>
      </w:pPr>
      <w:r>
        <w:rPr>
          <w:rFonts w:hint="eastAsia"/>
        </w:rPr>
        <w:t>Table 2 Configurations for the common design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4"/>
        <w:gridCol w:w="2234"/>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 xml:space="preserve">Parameter </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Config. 1</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Config.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(ks0, Os0, Ts0) for SSSG0</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(16, 0, 1) slots</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(16, 0, 1)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(ks1, Os1, Ts1) for SSSG1</w:t>
            </w:r>
          </w:p>
        </w:tc>
        <w:tc>
          <w:tcPr>
            <w:tcW w:w="223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(5, 0, 1) slot</w:t>
            </w:r>
          </w:p>
        </w:tc>
        <w:tc>
          <w:tcPr>
            <w:tcW w:w="2299"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(1, 0, 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4" w:type="dxa"/>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Skipping duration</w:t>
            </w:r>
          </w:p>
        </w:tc>
        <w:tc>
          <w:tcPr>
            <w:tcW w:w="4533" w:type="dxa"/>
            <w:gridSpan w:val="2"/>
            <w:vAlign w:val="center"/>
          </w:tcPr>
          <w:p>
            <w:pPr>
              <w:pStyle w:val="15"/>
              <w:spacing w:before="120" w:after="120" w:line="260" w:lineRule="auto"/>
              <w:jc w:val="center"/>
              <w:rPr>
                <w:rFonts w:ascii="Times New Roman" w:hAnsi="Times New Roman" w:cs="Times New Roman"/>
                <w:sz w:val="20"/>
                <w:szCs w:val="20"/>
              </w:rPr>
            </w:pPr>
            <w:r>
              <w:rPr>
                <w:rFonts w:hint="eastAsia" w:ascii="Times New Roman" w:hAnsi="Times New Roman" w:cs="Times New Roman"/>
                <w:sz w:val="20"/>
                <w:szCs w:val="20"/>
              </w:rPr>
              <w:t>DRX IAT</w:t>
            </w:r>
          </w:p>
        </w:tc>
      </w:tr>
    </w:tbl>
    <w:p>
      <w:pPr>
        <w:spacing w:before="120" w:after="120" w:line="260" w:lineRule="auto"/>
      </w:pPr>
    </w:p>
    <w:p>
      <w:pPr>
        <w:spacing w:before="120" w:after="120" w:line="260" w:lineRule="auto"/>
      </w:pPr>
      <w:r>
        <w:rPr>
          <w:rFonts w:hint="eastAsia"/>
        </w:rPr>
        <w:t xml:space="preserve">According to the above simulation assumptions, the power saving gain and the mean latency for FTP3, VoIP and data-intensive traffic models are shown in Figure 1 and Figure 2, respectively. Wherein </w:t>
      </w:r>
      <w:r>
        <w:t>‘</w:t>
      </w:r>
      <w:r>
        <w:rPr>
          <w:rFonts w:hint="eastAsia"/>
        </w:rPr>
        <w:t>(1) sl.+20ms</w:t>
      </w:r>
      <w:r>
        <w:t>’</w:t>
      </w:r>
      <w:r>
        <w:rPr>
          <w:rFonts w:hint="eastAsia"/>
        </w:rPr>
        <w:t xml:space="preserve"> for FTP3 traffic model denotes a configuration of PDCCH monitoring per slot and PDCCH skipping for 20ms, if triggered. </w:t>
      </w:r>
      <w:r>
        <w:t>‘</w:t>
      </w:r>
      <w:r>
        <w:rPr>
          <w:rFonts w:hint="eastAsia"/>
        </w:rPr>
        <w:t>(40,1) sl.</w:t>
      </w:r>
      <w:r>
        <w:t>’</w:t>
      </w:r>
      <w:r>
        <w:rPr>
          <w:rFonts w:hint="eastAsia"/>
        </w:rPr>
        <w:t xml:space="preserve"> for FTP3 traffic model denotes SSSG switching with a configuration of one SSSG of PDCCH monitoring per 40 slots and the other SSSG of PDCCH monitoring per slot</w:t>
      </w:r>
    </w:p>
    <w:tbl>
      <w:tblPr>
        <w:tblStyle w:val="17"/>
        <w:tblW w:w="0" w:type="auto"/>
        <w:tblInd w:w="0" w:type="dxa"/>
        <w:tblLayout w:type="fixed"/>
        <w:tblCellMar>
          <w:top w:w="0" w:type="dxa"/>
          <w:left w:w="0" w:type="dxa"/>
          <w:bottom w:w="0" w:type="dxa"/>
          <w:right w:w="108" w:type="dxa"/>
        </w:tblCellMar>
      </w:tblPr>
      <w:tblGrid>
        <w:gridCol w:w="3249"/>
        <w:gridCol w:w="3249"/>
        <w:gridCol w:w="3249"/>
      </w:tblGrid>
      <w:tr>
        <w:tblPrEx>
          <w:tblCellMar>
            <w:top w:w="0" w:type="dxa"/>
            <w:left w:w="0" w:type="dxa"/>
            <w:bottom w:w="0" w:type="dxa"/>
            <w:right w:w="108" w:type="dxa"/>
          </w:tblCellMar>
        </w:tblPrEx>
        <w:trPr>
          <w:trHeight w:val="1921" w:hRule="atLeast"/>
        </w:trPr>
        <w:tc>
          <w:tcPr>
            <w:tcW w:w="3249" w:type="dxa"/>
          </w:tcPr>
          <w:p>
            <w:pPr>
              <w:spacing w:before="120" w:after="120" w:line="260" w:lineRule="auto"/>
              <w:jc w:val="left"/>
            </w:pPr>
            <w:r>
              <w:drawing>
                <wp:inline distT="0" distB="0" distL="114300" distR="114300">
                  <wp:extent cx="2061210" cy="1444625"/>
                  <wp:effectExtent l="0" t="0" r="15240" b="317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rcRect l="3932"/>
                          <a:stretch>
                            <a:fillRect/>
                          </a:stretch>
                        </pic:blipFill>
                        <pic:spPr>
                          <a:xfrm>
                            <a:off x="0" y="0"/>
                            <a:ext cx="2061210" cy="1444625"/>
                          </a:xfrm>
                          <a:prstGeom prst="rect">
                            <a:avLst/>
                          </a:prstGeom>
                          <a:noFill/>
                          <a:ln>
                            <a:noFill/>
                          </a:ln>
                        </pic:spPr>
                      </pic:pic>
                    </a:graphicData>
                  </a:graphic>
                </wp:inline>
              </w:drawing>
            </w:r>
          </w:p>
        </w:tc>
        <w:tc>
          <w:tcPr>
            <w:tcW w:w="3249" w:type="dxa"/>
          </w:tcPr>
          <w:p>
            <w:pPr>
              <w:spacing w:before="120" w:after="120" w:line="260" w:lineRule="auto"/>
              <w:jc w:val="left"/>
            </w:pPr>
            <w:r>
              <w:drawing>
                <wp:inline distT="0" distB="0" distL="114300" distR="114300">
                  <wp:extent cx="2148840" cy="1439545"/>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rcRect l="4245"/>
                          <a:stretch>
                            <a:fillRect/>
                          </a:stretch>
                        </pic:blipFill>
                        <pic:spPr>
                          <a:xfrm>
                            <a:off x="0" y="0"/>
                            <a:ext cx="2148840" cy="1439545"/>
                          </a:xfrm>
                          <a:prstGeom prst="rect">
                            <a:avLst/>
                          </a:prstGeom>
                          <a:noFill/>
                          <a:ln>
                            <a:noFill/>
                          </a:ln>
                        </pic:spPr>
                      </pic:pic>
                    </a:graphicData>
                  </a:graphic>
                </wp:inline>
              </w:drawing>
            </w:r>
          </w:p>
        </w:tc>
        <w:tc>
          <w:tcPr>
            <w:tcW w:w="3249" w:type="dxa"/>
          </w:tcPr>
          <w:p>
            <w:pPr>
              <w:spacing w:before="120" w:after="120" w:line="260" w:lineRule="auto"/>
              <w:jc w:val="left"/>
            </w:pPr>
            <w:r>
              <w:drawing>
                <wp:inline distT="0" distB="0" distL="114300" distR="114300">
                  <wp:extent cx="2057400" cy="1434465"/>
                  <wp:effectExtent l="0" t="0" r="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rcRect l="3886"/>
                          <a:stretch>
                            <a:fillRect/>
                          </a:stretch>
                        </pic:blipFill>
                        <pic:spPr>
                          <a:xfrm>
                            <a:off x="0" y="0"/>
                            <a:ext cx="2057400" cy="1434465"/>
                          </a:xfrm>
                          <a:prstGeom prst="rect">
                            <a:avLst/>
                          </a:prstGeom>
                          <a:noFill/>
                          <a:ln>
                            <a:noFill/>
                          </a:ln>
                        </pic:spPr>
                      </pic:pic>
                    </a:graphicData>
                  </a:graphic>
                </wp:inline>
              </w:drawing>
            </w:r>
          </w:p>
        </w:tc>
      </w:tr>
      <w:tr>
        <w:tblPrEx>
          <w:tblCellMar>
            <w:top w:w="0" w:type="dxa"/>
            <w:left w:w="0" w:type="dxa"/>
            <w:bottom w:w="0" w:type="dxa"/>
            <w:right w:w="108" w:type="dxa"/>
          </w:tblCellMar>
        </w:tblPrEx>
        <w:tc>
          <w:tcPr>
            <w:tcW w:w="3249" w:type="dxa"/>
          </w:tcPr>
          <w:p>
            <w:pPr>
              <w:numPr>
                <w:ilvl w:val="0"/>
                <w:numId w:val="10"/>
              </w:numPr>
              <w:spacing w:before="120" w:after="120" w:line="260" w:lineRule="auto"/>
              <w:ind w:left="0" w:firstLine="0"/>
              <w:jc w:val="center"/>
            </w:pPr>
            <w:r>
              <w:rPr>
                <w:rFonts w:hint="eastAsia"/>
              </w:rPr>
              <w:t>FTP3 traffic model</w:t>
            </w:r>
          </w:p>
        </w:tc>
        <w:tc>
          <w:tcPr>
            <w:tcW w:w="3249" w:type="dxa"/>
          </w:tcPr>
          <w:p>
            <w:pPr>
              <w:numPr>
                <w:ilvl w:val="0"/>
                <w:numId w:val="10"/>
              </w:numPr>
              <w:spacing w:before="120" w:after="120" w:line="260" w:lineRule="auto"/>
              <w:ind w:left="0" w:firstLine="0"/>
              <w:jc w:val="center"/>
            </w:pPr>
            <w:r>
              <w:rPr>
                <w:rFonts w:hint="eastAsia"/>
              </w:rPr>
              <w:t>VoIP traffic model</w:t>
            </w:r>
          </w:p>
        </w:tc>
        <w:tc>
          <w:tcPr>
            <w:tcW w:w="3249" w:type="dxa"/>
          </w:tcPr>
          <w:p>
            <w:pPr>
              <w:numPr>
                <w:ilvl w:val="0"/>
                <w:numId w:val="10"/>
              </w:numPr>
              <w:spacing w:before="120" w:after="120" w:line="260" w:lineRule="auto"/>
              <w:ind w:left="0" w:firstLine="0"/>
              <w:jc w:val="center"/>
              <w:rPr>
                <w:b/>
                <w:bCs/>
              </w:rPr>
            </w:pPr>
            <w:r>
              <w:rPr>
                <w:rFonts w:hint="eastAsia"/>
              </w:rPr>
              <w:t>Data-intensive traffic model</w:t>
            </w:r>
          </w:p>
        </w:tc>
      </w:tr>
    </w:tbl>
    <w:p>
      <w:pPr>
        <w:spacing w:before="120" w:after="120" w:line="260" w:lineRule="auto"/>
        <w:jc w:val="center"/>
      </w:pPr>
      <w:r>
        <w:rPr>
          <w:rFonts w:hint="eastAsia"/>
        </w:rPr>
        <w:t>Figure 1 Power saving gain from the PDCCH adaptation schemes</w:t>
      </w:r>
    </w:p>
    <w:tbl>
      <w:tblPr>
        <w:tblStyle w:val="17"/>
        <w:tblW w:w="9842" w:type="dxa"/>
        <w:tblInd w:w="0" w:type="dxa"/>
        <w:tblLayout w:type="fixed"/>
        <w:tblCellMar>
          <w:top w:w="0" w:type="dxa"/>
          <w:left w:w="0" w:type="dxa"/>
          <w:bottom w:w="0" w:type="dxa"/>
          <w:right w:w="108" w:type="dxa"/>
        </w:tblCellMar>
      </w:tblPr>
      <w:tblGrid>
        <w:gridCol w:w="3280"/>
        <w:gridCol w:w="3280"/>
        <w:gridCol w:w="3282"/>
      </w:tblGrid>
      <w:tr>
        <w:tblPrEx>
          <w:tblCellMar>
            <w:top w:w="0" w:type="dxa"/>
            <w:left w:w="0" w:type="dxa"/>
            <w:bottom w:w="0" w:type="dxa"/>
            <w:right w:w="108" w:type="dxa"/>
          </w:tblCellMar>
        </w:tblPrEx>
        <w:trPr>
          <w:trHeight w:val="1826" w:hRule="atLeast"/>
        </w:trPr>
        <w:tc>
          <w:tcPr>
            <w:tcW w:w="3280" w:type="dxa"/>
          </w:tcPr>
          <w:p>
            <w:pPr>
              <w:spacing w:before="120" w:after="120" w:line="260" w:lineRule="auto"/>
            </w:pPr>
            <w:r>
              <w:drawing>
                <wp:inline distT="0" distB="0" distL="114300" distR="114300">
                  <wp:extent cx="2107565" cy="1213485"/>
                  <wp:effectExtent l="0" t="0" r="698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2107565" cy="1213485"/>
                          </a:xfrm>
                          <a:prstGeom prst="rect">
                            <a:avLst/>
                          </a:prstGeom>
                          <a:noFill/>
                          <a:ln>
                            <a:noFill/>
                          </a:ln>
                        </pic:spPr>
                      </pic:pic>
                    </a:graphicData>
                  </a:graphic>
                </wp:inline>
              </w:drawing>
            </w:r>
          </w:p>
        </w:tc>
        <w:tc>
          <w:tcPr>
            <w:tcW w:w="3280" w:type="dxa"/>
          </w:tcPr>
          <w:p>
            <w:pPr>
              <w:spacing w:before="120" w:after="120" w:line="260" w:lineRule="auto"/>
            </w:pPr>
            <w:r>
              <w:drawing>
                <wp:inline distT="0" distB="0" distL="114300" distR="114300">
                  <wp:extent cx="2096135" cy="1213485"/>
                  <wp:effectExtent l="0" t="0" r="18415"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2096135" cy="1213485"/>
                          </a:xfrm>
                          <a:prstGeom prst="rect">
                            <a:avLst/>
                          </a:prstGeom>
                          <a:noFill/>
                          <a:ln>
                            <a:noFill/>
                          </a:ln>
                        </pic:spPr>
                      </pic:pic>
                    </a:graphicData>
                  </a:graphic>
                </wp:inline>
              </w:drawing>
            </w:r>
          </w:p>
        </w:tc>
        <w:tc>
          <w:tcPr>
            <w:tcW w:w="3282" w:type="dxa"/>
          </w:tcPr>
          <w:p>
            <w:pPr>
              <w:spacing w:before="120" w:after="120" w:line="260" w:lineRule="auto"/>
            </w:pPr>
            <w:r>
              <w:drawing>
                <wp:inline distT="0" distB="0" distL="114300" distR="114300">
                  <wp:extent cx="2088515" cy="1209040"/>
                  <wp:effectExtent l="0" t="0" r="6985" b="1016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2088515" cy="1209040"/>
                          </a:xfrm>
                          <a:prstGeom prst="rect">
                            <a:avLst/>
                          </a:prstGeom>
                          <a:noFill/>
                          <a:ln>
                            <a:noFill/>
                          </a:ln>
                        </pic:spPr>
                      </pic:pic>
                    </a:graphicData>
                  </a:graphic>
                </wp:inline>
              </w:drawing>
            </w:r>
          </w:p>
        </w:tc>
      </w:tr>
      <w:tr>
        <w:tblPrEx>
          <w:tblCellMar>
            <w:top w:w="0" w:type="dxa"/>
            <w:left w:w="0" w:type="dxa"/>
            <w:bottom w:w="0" w:type="dxa"/>
            <w:right w:w="108" w:type="dxa"/>
          </w:tblCellMar>
        </w:tblPrEx>
        <w:tc>
          <w:tcPr>
            <w:tcW w:w="3280" w:type="dxa"/>
          </w:tcPr>
          <w:p>
            <w:pPr>
              <w:numPr>
                <w:ilvl w:val="0"/>
                <w:numId w:val="11"/>
              </w:numPr>
              <w:spacing w:before="120" w:after="120" w:line="260" w:lineRule="auto"/>
              <w:ind w:left="0" w:firstLine="0"/>
              <w:jc w:val="center"/>
            </w:pPr>
            <w:r>
              <w:rPr>
                <w:rFonts w:hint="eastAsia"/>
              </w:rPr>
              <w:t>FTP3 traffic model</w:t>
            </w:r>
          </w:p>
        </w:tc>
        <w:tc>
          <w:tcPr>
            <w:tcW w:w="3280" w:type="dxa"/>
          </w:tcPr>
          <w:p>
            <w:pPr>
              <w:numPr>
                <w:ilvl w:val="0"/>
                <w:numId w:val="11"/>
              </w:numPr>
              <w:spacing w:before="120" w:after="120" w:line="260" w:lineRule="auto"/>
              <w:ind w:left="0" w:firstLine="0"/>
              <w:jc w:val="center"/>
            </w:pPr>
            <w:r>
              <w:rPr>
                <w:rFonts w:hint="eastAsia"/>
              </w:rPr>
              <w:t>VoIP traffic model</w:t>
            </w:r>
          </w:p>
        </w:tc>
        <w:tc>
          <w:tcPr>
            <w:tcW w:w="3282" w:type="dxa"/>
          </w:tcPr>
          <w:p>
            <w:pPr>
              <w:numPr>
                <w:ilvl w:val="0"/>
                <w:numId w:val="11"/>
              </w:numPr>
              <w:spacing w:before="120" w:after="120" w:line="260" w:lineRule="auto"/>
              <w:ind w:left="0" w:firstLine="0"/>
              <w:jc w:val="center"/>
              <w:rPr>
                <w:b/>
                <w:bCs/>
              </w:rPr>
            </w:pPr>
            <w:r>
              <w:rPr>
                <w:rFonts w:hint="eastAsia"/>
              </w:rPr>
              <w:t>Data-intensive traffic model</w:t>
            </w:r>
          </w:p>
        </w:tc>
      </w:tr>
    </w:tbl>
    <w:p>
      <w:pPr>
        <w:spacing w:before="120" w:after="120" w:line="260" w:lineRule="auto"/>
        <w:jc w:val="center"/>
      </w:pPr>
      <w:r>
        <w:rPr>
          <w:rFonts w:hint="eastAsia"/>
        </w:rPr>
        <w:t>Figure 2 Mean latency of the PDCCH adaptation schemes</w:t>
      </w:r>
    </w:p>
    <w:p>
      <w:pPr>
        <w:spacing w:before="120" w:after="120"/>
      </w:pPr>
      <w:r>
        <w:rPr>
          <w:rFonts w:hint="eastAsia"/>
        </w:rPr>
        <w:t>For the single design of PDCCH skipping or SSSG switching, it can be seen from Figure 1 that the power saving gain from PDCCH skipping is larger than that of SSSG switching. The reason is that the UE does not need to monitor any PDCCH during the skipping duration which can help the UE to go to deep sleep mode</w:t>
      </w:r>
      <w:r>
        <w:t>. However, UE</w:t>
      </w:r>
      <w:r>
        <w:rPr>
          <w:rFonts w:hint="eastAsia"/>
        </w:rPr>
        <w:t xml:space="preserve"> needs to monitor PDCCH </w:t>
      </w:r>
      <w:r>
        <w:t xml:space="preserve">with one-slot occasion </w:t>
      </w:r>
      <w:r>
        <w:rPr>
          <w:rFonts w:hint="eastAsia"/>
        </w:rPr>
        <w:t xml:space="preserve">according to the </w:t>
      </w:r>
      <w:r>
        <w:t xml:space="preserve">configuration </w:t>
      </w:r>
      <w:r>
        <w:rPr>
          <w:rFonts w:hint="eastAsia"/>
        </w:rPr>
        <w:t>of sparse SSSG0</w:t>
      </w:r>
      <w:r>
        <w:t xml:space="preserve">, and the location of the one-slot PDCCH monitoring occasion </w:t>
      </w:r>
      <w:r>
        <w:rPr>
          <w:rFonts w:hint="eastAsia"/>
        </w:rPr>
        <w:t>is random</w:t>
      </w:r>
      <w:r>
        <w:t>ly</w:t>
      </w:r>
      <w:r>
        <w:rPr>
          <w:rFonts w:hint="eastAsia"/>
        </w:rPr>
        <w:t xml:space="preserve"> located relative to</w:t>
      </w:r>
      <w:r>
        <w:t xml:space="preserve"> the transmission occasion of DCI indication</w:t>
      </w:r>
      <w:r>
        <w:rPr>
          <w:rFonts w:hint="eastAsia"/>
        </w:rPr>
        <w:t xml:space="preserve"> triggering SSSG switching. Therefore, the UE </w:t>
      </w:r>
      <w:r>
        <w:t>can</w:t>
      </w:r>
      <w:r>
        <w:rPr>
          <w:rFonts w:hint="eastAsia"/>
        </w:rPr>
        <w:t xml:space="preserve">not go to the deep sleep because the active time </w:t>
      </w:r>
      <w:r>
        <w:t>is</w:t>
      </w:r>
      <w:r>
        <w:rPr>
          <w:rFonts w:hint="eastAsia"/>
        </w:rPr>
        <w:t xml:space="preserve"> split by the PDCCH monitoring occasion of SSSG0.</w:t>
      </w:r>
    </w:p>
    <w:p>
      <w:pPr>
        <w:pStyle w:val="28"/>
        <w:spacing w:before="120" w:after="120"/>
        <w:jc w:val="both"/>
        <w:rPr>
          <w:i w:val="0"/>
          <w:iCs w:val="0"/>
          <w:lang w:val="en-US"/>
        </w:rPr>
      </w:pPr>
      <w:bookmarkStart w:id="1" w:name="_Toc87029749"/>
      <w:bookmarkStart w:id="2" w:name="_Ref22330"/>
      <w:bookmarkStart w:id="3" w:name="_Toc4010"/>
      <w:r>
        <w:rPr>
          <w:rFonts w:hint="eastAsia"/>
          <w:i w:val="0"/>
          <w:iCs w:val="0"/>
          <w:lang w:val="en-US"/>
        </w:rPr>
        <w:t>For the configurations with the same number of reduced PDCCH monitoring occasions during a DRX cycle, PDCCH skipping can save more power consumption than SSSG switching.</w:t>
      </w:r>
      <w:bookmarkEnd w:id="1"/>
      <w:bookmarkEnd w:id="2"/>
      <w:bookmarkEnd w:id="3"/>
    </w:p>
    <w:p>
      <w:pPr>
        <w:spacing w:before="120" w:after="120" w:line="260" w:lineRule="auto"/>
      </w:pPr>
      <w:r>
        <w:rPr>
          <w:rFonts w:hint="eastAsia"/>
        </w:rPr>
        <w:t xml:space="preserve">For the common design, i.e.  Config. 1 and Config. 2 for the common design, it is observed from Figures 1 and 2 that power saving gain from the Config.1 is lower than that of the Config.2 for FTP3 traffic model and data-intensive traffic model. It is because for FTP3 traffic model and data-intensive traffic model, the UE needs to process a larger number of data packets during a DRX cycle, e.g. 5 continuous data arrival for FTP3 traffic model or a denser data arrival for data-intensive traffic model. The sparser PDCCH monitoring occasion, i.e. SSSG1 of Config.1, </w:t>
      </w:r>
      <w:r>
        <w:t>will</w:t>
      </w:r>
      <w:r>
        <w:rPr>
          <w:rFonts w:hint="eastAsia"/>
        </w:rPr>
        <w:t xml:space="preserve"> extend the data processing time </w:t>
      </w:r>
      <w:r>
        <w:t>which</w:t>
      </w:r>
      <w:r>
        <w:rPr>
          <w:rFonts w:hint="eastAsia"/>
        </w:rPr>
        <w:t xml:space="preserve"> result</w:t>
      </w:r>
      <w:r>
        <w:t>s</w:t>
      </w:r>
      <w:r>
        <w:rPr>
          <w:rFonts w:hint="eastAsia"/>
        </w:rPr>
        <w:t xml:space="preserve"> in a shorter sleep time for the UE during a DRX cycle. However, for VoIP traffic model, the data packets are smaller. The data processing time for VoIP traffic model is much less than that for FTP3 traffic model and data-intensive traffic model, so that the power saving gain from Config.1 is larger than that for Config.2. Therefore, for traffic model with dense data arrival or large packet size, a SSSG with dense PDCCH monitoring configuration should be supported.</w:t>
      </w:r>
    </w:p>
    <w:p>
      <w:pPr>
        <w:pStyle w:val="28"/>
        <w:spacing w:before="120" w:after="120"/>
        <w:jc w:val="both"/>
        <w:rPr>
          <w:i w:val="0"/>
          <w:iCs w:val="0"/>
          <w:lang w:val="en-US"/>
        </w:rPr>
      </w:pPr>
      <w:bookmarkStart w:id="4" w:name="_Toc87029750"/>
      <w:bookmarkStart w:id="5" w:name="_Toc32210"/>
      <w:bookmarkStart w:id="6" w:name="_Ref22337"/>
      <w:r>
        <w:rPr>
          <w:rFonts w:hint="eastAsia"/>
          <w:i w:val="0"/>
          <w:iCs w:val="0"/>
          <w:lang w:val="en-US"/>
        </w:rPr>
        <w:t xml:space="preserve">For a common design of SSSG switching and PDCCH skipping, the configurations providing </w:t>
      </w:r>
      <w:r>
        <w:rPr>
          <w:i w:val="0"/>
          <w:iCs w:val="0"/>
          <w:lang w:val="en-US"/>
        </w:rPr>
        <w:t>better</w:t>
      </w:r>
      <w:r>
        <w:rPr>
          <w:rFonts w:hint="eastAsia"/>
          <w:i w:val="0"/>
          <w:iCs w:val="0"/>
          <w:lang w:val="en-US"/>
        </w:rPr>
        <w:t xml:space="preserve"> power saving gain are different for different traffic models.</w:t>
      </w:r>
      <w:bookmarkEnd w:id="4"/>
      <w:bookmarkEnd w:id="5"/>
      <w:bookmarkEnd w:id="6"/>
    </w:p>
    <w:p>
      <w:pPr>
        <w:pStyle w:val="29"/>
        <w:spacing w:before="120" w:after="120"/>
        <w:rPr>
          <w:i w:val="0"/>
          <w:iCs w:val="0"/>
          <w:lang w:val="en-US"/>
        </w:rPr>
      </w:pPr>
      <w:bookmarkStart w:id="7" w:name="_Toc87029752"/>
      <w:bookmarkStart w:id="8" w:name="_Ref22412"/>
      <w:r>
        <w:rPr>
          <w:rFonts w:hint="eastAsia"/>
          <w:i w:val="0"/>
          <w:iCs w:val="0"/>
          <w:lang w:val="en-US"/>
        </w:rPr>
        <w:t>For traffic model with dense data arrival or large packet size, a SSSG with dense PDCCH monitoring configuration should be supported.</w:t>
      </w:r>
      <w:bookmarkEnd w:id="7"/>
      <w:bookmarkEnd w:id="8"/>
    </w:p>
    <w:p>
      <w:pPr>
        <w:spacing w:before="120" w:after="120"/>
        <w:rPr>
          <w:szCs w:val="21"/>
        </w:rPr>
      </w:pPr>
    </w:p>
    <w:p>
      <w:pPr>
        <w:pStyle w:val="2"/>
        <w:spacing w:before="120" w:after="120"/>
        <w:ind w:left="0"/>
        <w:rPr>
          <w:b/>
          <w:bCs/>
          <w:sz w:val="24"/>
          <w:szCs w:val="24"/>
        </w:rPr>
      </w:pPr>
      <w:r>
        <w:rPr>
          <w:rFonts w:hint="eastAsia" w:ascii="Times New Roman" w:hAnsi="Times New Roman" w:eastAsia="宋体"/>
          <w:b/>
          <w:bCs/>
          <w:sz w:val="24"/>
          <w:szCs w:val="24"/>
        </w:rPr>
        <w:t>Potential schemes for PDCCH monitoring adaptation</w:t>
      </w:r>
    </w:p>
    <w:p>
      <w:pPr>
        <w:spacing w:before="120" w:after="120"/>
      </w:pPr>
      <w:r>
        <w:rPr>
          <w:rFonts w:hint="eastAsia"/>
        </w:rPr>
        <w:t xml:space="preserve">As discussed in 3GPP TSG RAN1#106b-e meeting [2], both Beh 2B and multiple skipping durations were agreed, how to </w:t>
      </w:r>
      <w:r>
        <w:t xml:space="preserve">trigger </w:t>
      </w:r>
      <w:r>
        <w:rPr>
          <w:rFonts w:hint="eastAsia"/>
        </w:rPr>
        <w:t>the</w:t>
      </w:r>
      <w:r>
        <w:t xml:space="preserve"> </w:t>
      </w:r>
      <w:r>
        <w:rPr>
          <w:rFonts w:hint="eastAsia"/>
        </w:rPr>
        <w:t xml:space="preserve">SSSG switching and PDCCH skipping </w:t>
      </w:r>
      <w:r>
        <w:t xml:space="preserve">should be </w:t>
      </w:r>
      <w:r>
        <w:rPr>
          <w:rFonts w:hint="eastAsia"/>
        </w:rPr>
        <w:t xml:space="preserve">further </w:t>
      </w:r>
      <w:r>
        <w:t>discussed</w:t>
      </w:r>
      <w:r>
        <w:rPr>
          <w:rFonts w:hint="eastAsia"/>
        </w:rPr>
        <w:t>. In this section, some potential schemes for PDCCH monitoring adaptation are shown.</w:t>
      </w:r>
    </w:p>
    <w:p>
      <w:pPr>
        <w:spacing w:before="120" w:after="120"/>
      </w:pPr>
      <w:r>
        <w:rPr>
          <w:rFonts w:hint="eastAsia"/>
        </w:rPr>
        <w:t>For one example, two SSSGs and a PDCCH skipping duration are supported by the UE. The PDCCH adaptation procedure is shown in Figure 3. The SSSG switching between SSSG #0 and SSSG #1 can be triggered by DCI indication</w:t>
      </w:r>
      <w:r>
        <w:t xml:space="preserve"> and</w:t>
      </w:r>
      <w:r>
        <w:rPr>
          <w:rFonts w:hint="eastAsia"/>
        </w:rPr>
        <w:t xml:space="preserve"> timer, which</w:t>
      </w:r>
      <w:r>
        <w:t xml:space="preserve"> is shown</w:t>
      </w:r>
      <w:r>
        <w:rPr>
          <w:rFonts w:hint="eastAsia"/>
        </w:rPr>
        <w:t xml:space="preserve"> in black lines. The PDCCH adaptation from SSSG #0 or SSSG #1 to PDCCH skipping can be triggered by DCI indication </w:t>
      </w:r>
      <w:r>
        <w:t xml:space="preserve">shown </w:t>
      </w:r>
      <w:r>
        <w:rPr>
          <w:rFonts w:hint="eastAsia"/>
          <w:color w:val="0000FF"/>
        </w:rPr>
        <w:t>in blue lines</w:t>
      </w:r>
      <w:r>
        <w:rPr>
          <w:rFonts w:hint="eastAsia"/>
        </w:rPr>
        <w:t xml:space="preserve">. After the end of the PDCCH skipping duration, the UE can switch to SSSG #0, which is </w:t>
      </w:r>
      <w:r>
        <w:t xml:space="preserve">shown </w:t>
      </w:r>
      <w:r>
        <w:rPr>
          <w:rFonts w:hint="eastAsia"/>
          <w:color w:val="FF0000"/>
        </w:rPr>
        <w:t>in red lines</w:t>
      </w:r>
      <w:r>
        <w:rPr>
          <w:rFonts w:hint="eastAsia"/>
        </w:rPr>
        <w:t>.</w:t>
      </w:r>
    </w:p>
    <w:p>
      <w:pPr>
        <w:spacing w:before="120" w:after="120"/>
        <w:jc w:val="center"/>
      </w:pPr>
      <w:r>
        <w:drawing>
          <wp:inline distT="0" distB="0" distL="114300" distR="114300">
            <wp:extent cx="3104515" cy="1764030"/>
            <wp:effectExtent l="0" t="0" r="635" b="762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6"/>
                    <a:stretch>
                      <a:fillRect/>
                    </a:stretch>
                  </pic:blipFill>
                  <pic:spPr>
                    <a:xfrm>
                      <a:off x="0" y="0"/>
                      <a:ext cx="3104515" cy="1764030"/>
                    </a:xfrm>
                    <a:prstGeom prst="rect">
                      <a:avLst/>
                    </a:prstGeom>
                    <a:noFill/>
                    <a:ln>
                      <a:noFill/>
                    </a:ln>
                  </pic:spPr>
                </pic:pic>
              </a:graphicData>
            </a:graphic>
          </wp:inline>
        </w:drawing>
      </w:r>
    </w:p>
    <w:p>
      <w:pPr>
        <w:spacing w:before="120" w:after="120"/>
        <w:jc w:val="center"/>
      </w:pPr>
      <w:r>
        <w:rPr>
          <w:rFonts w:hint="eastAsia"/>
        </w:rPr>
        <w:t xml:space="preserve">Figure 3 PDCCH monitoring adaptation with 2 SSSGs and one skipping duration </w:t>
      </w:r>
    </w:p>
    <w:p>
      <w:pPr>
        <w:spacing w:before="120" w:after="120"/>
      </w:pPr>
    </w:p>
    <w:p>
      <w:pPr>
        <w:spacing w:before="120" w:after="120"/>
      </w:pPr>
      <w:r>
        <w:rPr>
          <w:rFonts w:hint="eastAsia"/>
        </w:rPr>
        <w:t>For another example, a simple PDCCH adaptation procedure with two PDCCH skipping duration and two SSSGs is shown in Figure 4. The SSSG switching mechanism between two SSSGs is omitted</w:t>
      </w:r>
      <w:r>
        <w:t xml:space="preserve"> in Figure </w:t>
      </w:r>
      <w:r>
        <w:rPr>
          <w:rFonts w:hint="eastAsia"/>
        </w:rPr>
        <w:t>4. The PDCCH adaptation from SSSG monitoring to PDCCH skipping can be triggered by DCI indication, which is shown in black lines. The PDCCH adaptation from PDCCH skipping to SSSG monitoring is triggered by the end of skipping duration</w:t>
      </w:r>
      <w:r>
        <w:rPr>
          <w:rFonts w:hint="eastAsia"/>
          <w:color w:val="0000FF"/>
        </w:rPr>
        <w:t xml:space="preserve"> </w:t>
      </w:r>
      <w:r>
        <w:rPr>
          <w:color w:val="0000FF"/>
        </w:rPr>
        <w:t xml:space="preserve">as shown </w:t>
      </w:r>
      <w:r>
        <w:rPr>
          <w:rFonts w:hint="eastAsia"/>
          <w:color w:val="0000FF"/>
        </w:rPr>
        <w:t>in blue lines</w:t>
      </w:r>
      <w:r>
        <w:rPr>
          <w:rFonts w:hint="eastAsia"/>
        </w:rPr>
        <w:t>. The UE sets the skip</w:t>
      </w:r>
      <w:r>
        <w:t>ping</w:t>
      </w:r>
      <w:r>
        <w:rPr>
          <w:rFonts w:hint="eastAsia"/>
        </w:rPr>
        <w:t xml:space="preserve"> timer and falls back to monitor PDCCH according to SSSG #0 after the end of PDCCH skipping duration. </w:t>
      </w:r>
    </w:p>
    <w:p>
      <w:pPr>
        <w:spacing w:before="120" w:after="120"/>
        <w:jc w:val="center"/>
      </w:pPr>
      <w:r>
        <w:drawing>
          <wp:inline distT="0" distB="0" distL="114300" distR="114300">
            <wp:extent cx="3220085" cy="2058035"/>
            <wp:effectExtent l="0" t="0" r="18415" b="1841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tretch>
                      <a:fillRect/>
                    </a:stretch>
                  </pic:blipFill>
                  <pic:spPr>
                    <a:xfrm>
                      <a:off x="0" y="0"/>
                      <a:ext cx="3220085" cy="2058035"/>
                    </a:xfrm>
                    <a:prstGeom prst="rect">
                      <a:avLst/>
                    </a:prstGeom>
                    <a:noFill/>
                    <a:ln>
                      <a:noFill/>
                    </a:ln>
                  </pic:spPr>
                </pic:pic>
              </a:graphicData>
            </a:graphic>
          </wp:inline>
        </w:drawing>
      </w:r>
    </w:p>
    <w:p>
      <w:pPr>
        <w:spacing w:before="120" w:after="120"/>
        <w:jc w:val="center"/>
      </w:pPr>
      <w:r>
        <w:rPr>
          <w:rFonts w:hint="eastAsia"/>
        </w:rPr>
        <w:t>Figure 4 PDCCH monitoring adaptation with 2 SSSGs and 2 skipping durations</w:t>
      </w:r>
    </w:p>
    <w:p>
      <w:pPr>
        <w:spacing w:before="120" w:after="120"/>
      </w:pPr>
    </w:p>
    <w:p>
      <w:pPr>
        <w:spacing w:before="120" w:after="120"/>
      </w:pPr>
      <w:r>
        <w:rPr>
          <w:rFonts w:hint="eastAsia"/>
        </w:rPr>
        <w:t>As shown in Figure 3 and Figure 4, both DCI-based triggering scheme and timer-based triggering scheme can realize PDCCH monitoring adaptation. In addition, the introduction of the timer-based scheme, including switching between SSSGs, triggering from PDCCH skipping to SSSG</w:t>
      </w:r>
      <w:r>
        <w:t>#0</w:t>
      </w:r>
      <w:r>
        <w:rPr>
          <w:rFonts w:hint="eastAsia"/>
        </w:rPr>
        <w:t xml:space="preserve"> can increase the flexibility of PDCCH monitoring adaptation.</w:t>
      </w:r>
    </w:p>
    <w:p>
      <w:pPr>
        <w:pStyle w:val="28"/>
        <w:spacing w:before="120" w:after="120"/>
        <w:jc w:val="both"/>
        <w:rPr>
          <w:i w:val="0"/>
          <w:iCs w:val="0"/>
        </w:rPr>
      </w:pPr>
      <w:bookmarkStart w:id="9" w:name="_Toc26915"/>
      <w:bookmarkStart w:id="10" w:name="_Toc87029751"/>
      <w:r>
        <w:rPr>
          <w:rFonts w:hint="eastAsia"/>
          <w:i w:val="0"/>
          <w:iCs w:val="0"/>
          <w:lang w:val="en-US" w:eastAsia="zh-CN"/>
        </w:rPr>
        <w:t>The introduction of the timer-based scheme, including switching between SSSGs, triggering from PDCCH skipping to SSSG</w:t>
      </w:r>
      <w:r>
        <w:rPr>
          <w:i w:val="0"/>
          <w:iCs w:val="0"/>
          <w:lang w:val="en-US" w:eastAsia="zh-CN"/>
        </w:rPr>
        <w:t>#0</w:t>
      </w:r>
      <w:r>
        <w:rPr>
          <w:rFonts w:hint="eastAsia"/>
          <w:i w:val="0"/>
          <w:iCs w:val="0"/>
          <w:lang w:val="en-US" w:eastAsia="zh-CN"/>
        </w:rPr>
        <w:t xml:space="preserve"> can increase the flexibility of PDCCH monitoring adaptation.</w:t>
      </w:r>
      <w:bookmarkEnd w:id="9"/>
      <w:bookmarkEnd w:id="10"/>
    </w:p>
    <w:p>
      <w:pPr>
        <w:spacing w:before="120" w:after="120"/>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rPr>
          <w:szCs w:val="22"/>
        </w:rPr>
      </w:pPr>
      <w:r>
        <w:rPr>
          <w:rFonts w:hint="eastAsia"/>
        </w:rPr>
        <w:t>In this contribution, we discuss the power saving enhancement schemes. We have the following observations and proposals.</w:t>
      </w:r>
      <w:bookmarkStart w:id="11" w:name="_GoBack"/>
      <w:bookmarkEnd w:id="11"/>
    </w:p>
    <w:p>
      <w:pPr>
        <w:pStyle w:val="11"/>
        <w:tabs>
          <w:tab w:val="left" w:pos="1540"/>
        </w:tabs>
        <w:spacing w:before="120" w:after="120"/>
        <w:jc w:val="both"/>
        <w:rPr>
          <w:rFonts w:asciiTheme="minorHAnsi" w:hAnsiTheme="minorHAnsi" w:cstheme="minorBidi"/>
          <w:b w:val="0"/>
          <w:bCs w:val="0"/>
          <w:i w:val="0"/>
          <w:iCs w:val="0"/>
          <w:kern w:val="0"/>
          <w:sz w:val="22"/>
          <w:szCs w:val="22"/>
        </w:rPr>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fldChar w:fldCharType="begin"/>
      </w:r>
      <w:r>
        <w:instrText xml:space="preserve"> HYPERLINK \l "_Toc87029749" </w:instrText>
      </w:r>
      <w:r>
        <w:fldChar w:fldCharType="separate"/>
      </w:r>
      <w:r>
        <w:rPr>
          <w:rStyle w:val="23"/>
          <w:rFonts w:eastAsia="宋体"/>
          <w:i w:val="0"/>
        </w:rPr>
        <w:t>Observation 1:</w:t>
      </w:r>
      <w:r>
        <w:rPr>
          <w:rFonts w:asciiTheme="minorHAnsi" w:hAnsiTheme="minorHAnsi" w:cstheme="minorBidi"/>
          <w:b w:val="0"/>
          <w:bCs w:val="0"/>
          <w:i w:val="0"/>
          <w:iCs w:val="0"/>
          <w:kern w:val="0"/>
          <w:sz w:val="22"/>
          <w:szCs w:val="22"/>
        </w:rPr>
        <w:tab/>
      </w:r>
      <w:r>
        <w:rPr>
          <w:rStyle w:val="23"/>
          <w:i w:val="0"/>
        </w:rPr>
        <w:t>For the configurations with the same number of reduced PDCCH monitoring occasions during a DRX cycle, PDCCH skipping can save more power consumption than SSSG switching.</w:t>
      </w:r>
      <w:r>
        <w:rPr>
          <w:rStyle w:val="23"/>
          <w:i w:val="0"/>
        </w:rPr>
        <w:fldChar w:fldCharType="end"/>
      </w:r>
    </w:p>
    <w:p>
      <w:pPr>
        <w:pStyle w:val="11"/>
        <w:tabs>
          <w:tab w:val="left" w:pos="1540"/>
        </w:tabs>
        <w:spacing w:before="120" w:after="120"/>
        <w:jc w:val="both"/>
        <w:rPr>
          <w:rFonts w:asciiTheme="minorHAnsi" w:hAnsiTheme="minorHAnsi" w:cstheme="minorBidi"/>
          <w:b w:val="0"/>
          <w:bCs w:val="0"/>
          <w:i w:val="0"/>
          <w:iCs w:val="0"/>
          <w:kern w:val="0"/>
          <w:sz w:val="22"/>
          <w:szCs w:val="22"/>
        </w:rPr>
      </w:pPr>
      <w:r>
        <w:fldChar w:fldCharType="begin"/>
      </w:r>
      <w:r>
        <w:instrText xml:space="preserve"> HYPERLINK \l "_Toc87029750" </w:instrText>
      </w:r>
      <w:r>
        <w:fldChar w:fldCharType="separate"/>
      </w:r>
      <w:r>
        <w:rPr>
          <w:rStyle w:val="23"/>
          <w:rFonts w:eastAsia="宋体"/>
          <w:i w:val="0"/>
        </w:rPr>
        <w:t>Observation 2:</w:t>
      </w:r>
      <w:r>
        <w:rPr>
          <w:rFonts w:asciiTheme="minorHAnsi" w:hAnsiTheme="minorHAnsi" w:cstheme="minorBidi"/>
          <w:b w:val="0"/>
          <w:bCs w:val="0"/>
          <w:i w:val="0"/>
          <w:iCs w:val="0"/>
          <w:kern w:val="0"/>
          <w:sz w:val="22"/>
          <w:szCs w:val="22"/>
        </w:rPr>
        <w:tab/>
      </w:r>
      <w:r>
        <w:rPr>
          <w:rStyle w:val="23"/>
          <w:i w:val="0"/>
        </w:rPr>
        <w:t>For a common design of SSSG switching and PDCCH skipping, the configurations providing better power saving gain are different for different traffic models.</w:t>
      </w:r>
      <w:r>
        <w:rPr>
          <w:rStyle w:val="23"/>
          <w:i w:val="0"/>
        </w:rPr>
        <w:fldChar w:fldCharType="end"/>
      </w:r>
    </w:p>
    <w:p>
      <w:pPr>
        <w:pStyle w:val="11"/>
        <w:tabs>
          <w:tab w:val="left" w:pos="1540"/>
        </w:tabs>
        <w:spacing w:before="120" w:after="120"/>
        <w:jc w:val="both"/>
        <w:rPr>
          <w:rFonts w:asciiTheme="minorHAnsi" w:hAnsiTheme="minorHAnsi" w:cstheme="minorBidi"/>
          <w:b w:val="0"/>
          <w:bCs w:val="0"/>
          <w:i w:val="0"/>
          <w:iCs w:val="0"/>
          <w:kern w:val="0"/>
          <w:sz w:val="22"/>
          <w:szCs w:val="22"/>
        </w:rPr>
      </w:pPr>
      <w:r>
        <w:fldChar w:fldCharType="begin"/>
      </w:r>
      <w:r>
        <w:instrText xml:space="preserve"> HYPERLINK \l "_Toc87029751" </w:instrText>
      </w:r>
      <w:r>
        <w:fldChar w:fldCharType="separate"/>
      </w:r>
      <w:r>
        <w:rPr>
          <w:rStyle w:val="23"/>
          <w:rFonts w:eastAsia="宋体"/>
          <w:i w:val="0"/>
        </w:rPr>
        <w:t>Observation 3:</w:t>
      </w:r>
      <w:r>
        <w:rPr>
          <w:rFonts w:asciiTheme="minorHAnsi" w:hAnsiTheme="minorHAnsi" w:cstheme="minorBidi"/>
          <w:b w:val="0"/>
          <w:bCs w:val="0"/>
          <w:i w:val="0"/>
          <w:iCs w:val="0"/>
          <w:kern w:val="0"/>
          <w:sz w:val="22"/>
          <w:szCs w:val="22"/>
        </w:rPr>
        <w:tab/>
      </w:r>
      <w:r>
        <w:rPr>
          <w:rStyle w:val="23"/>
          <w:i w:val="0"/>
        </w:rPr>
        <w:t>The introduction of the timer-based scheme, including switching between SSSGs, triggering from PDCCH skipping to SSSG#0 can increase the flexibility of PDCCH monitoring adaptation.</w:t>
      </w:r>
      <w:r>
        <w:rPr>
          <w:rStyle w:val="23"/>
          <w:i w:val="0"/>
        </w:rPr>
        <w:fldChar w:fldCharType="end"/>
      </w:r>
    </w:p>
    <w:p>
      <w:pPr>
        <w:spacing w:before="120" w:after="120"/>
      </w:pPr>
      <w:r>
        <w:rPr>
          <w:szCs w:val="22"/>
        </w:rPr>
        <w:fldChar w:fldCharType="end"/>
      </w:r>
    </w:p>
    <w:p>
      <w:pPr>
        <w:pStyle w:val="11"/>
        <w:tabs>
          <w:tab w:val="left" w:pos="1282"/>
        </w:tabs>
        <w:spacing w:before="120" w:after="120"/>
        <w:jc w:val="both"/>
        <w:rPr>
          <w:rFonts w:asciiTheme="minorHAnsi" w:hAnsiTheme="minorHAnsi" w:cstheme="minorBidi"/>
          <w:b w:val="0"/>
          <w:bCs w:val="0"/>
          <w:i w:val="0"/>
          <w:iCs w:val="0"/>
          <w:kern w:val="0"/>
          <w:sz w:val="22"/>
          <w:szCs w:val="22"/>
        </w:rPr>
      </w:pPr>
      <w:r>
        <w:rPr>
          <w:i w:val="0"/>
          <w:iCs w:val="0"/>
        </w:rPr>
        <w:fldChar w:fldCharType="begin"/>
      </w:r>
      <w:r>
        <w:rPr>
          <w:i w:val="0"/>
          <w:iCs w:val="0"/>
        </w:rPr>
        <w:instrText xml:space="preserve">TOC \n  \t "YJ-Proposal,1,sub-proposal,2,3rd level proposal,3" \h</w:instrText>
      </w:r>
      <w:r>
        <w:rPr>
          <w:i w:val="0"/>
          <w:iCs w:val="0"/>
        </w:rPr>
        <w:fldChar w:fldCharType="separate"/>
      </w:r>
      <w:r>
        <w:fldChar w:fldCharType="begin"/>
      </w:r>
      <w:r>
        <w:instrText xml:space="preserve"> HYPERLINK \l "_Toc87029752" </w:instrText>
      </w:r>
      <w:r>
        <w:fldChar w:fldCharType="separate"/>
      </w:r>
      <w:r>
        <w:rPr>
          <w:rStyle w:val="23"/>
          <w:rFonts w:eastAsia="宋体"/>
          <w:i w:val="0"/>
        </w:rPr>
        <w:t>Proposal 1:</w:t>
      </w:r>
      <w:r>
        <w:rPr>
          <w:rFonts w:asciiTheme="minorHAnsi" w:hAnsiTheme="minorHAnsi" w:cstheme="minorBidi"/>
          <w:b w:val="0"/>
          <w:bCs w:val="0"/>
          <w:i w:val="0"/>
          <w:iCs w:val="0"/>
          <w:kern w:val="0"/>
          <w:sz w:val="22"/>
          <w:szCs w:val="22"/>
        </w:rPr>
        <w:tab/>
      </w:r>
      <w:r>
        <w:rPr>
          <w:rStyle w:val="23"/>
          <w:i w:val="0"/>
        </w:rPr>
        <w:t>For traffic model with dense data arrival or large packet size, a SSSG with dense PDCCH monitoring configuration should be supported.</w:t>
      </w:r>
      <w:r>
        <w:rPr>
          <w:rStyle w:val="23"/>
          <w:i w:val="0"/>
        </w:rPr>
        <w:fldChar w:fldCharType="end"/>
      </w:r>
    </w:p>
    <w:p>
      <w:pPr>
        <w:spacing w:before="120" w:after="120"/>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6"/>
        <w:numPr>
          <w:ilvl w:val="0"/>
          <w:numId w:val="12"/>
        </w:numPr>
        <w:snapToGrid w:val="0"/>
        <w:spacing w:before="120" w:after="120" w:line="268" w:lineRule="auto"/>
        <w:contextualSpacing/>
      </w:pPr>
      <w:r>
        <w:rPr>
          <w:rFonts w:hint="eastAsia"/>
        </w:rPr>
        <w:t>Chairman's Notes RAN1#106-e, 3GPP TSG RAN1#106-e, 2021-08.</w:t>
      </w:r>
    </w:p>
    <w:p>
      <w:pPr>
        <w:pStyle w:val="6"/>
        <w:numPr>
          <w:ilvl w:val="0"/>
          <w:numId w:val="12"/>
        </w:numPr>
        <w:snapToGrid w:val="0"/>
        <w:spacing w:before="120" w:after="120" w:line="268" w:lineRule="auto"/>
        <w:contextualSpacing/>
      </w:pPr>
      <w:r>
        <w:rPr>
          <w:rFonts w:hint="eastAsia"/>
        </w:rPr>
        <w:t>Chairman's Notes RAN1#106b-e, 3GPP TSG RAN1#106-e, 2021-10.</w:t>
      </w:r>
    </w:p>
    <w:p>
      <w:pPr>
        <w:pStyle w:val="2"/>
        <w:numPr>
          <w:ilvl w:val="0"/>
          <w:numId w:val="0"/>
        </w:numPr>
        <w:spacing w:before="120" w:after="120"/>
        <w:rPr>
          <w:rFonts w:ascii="Times New Roman" w:hAnsi="Times New Roman" w:eastAsia="Times New Roman"/>
          <w:b/>
          <w:sz w:val="24"/>
          <w:szCs w:val="24"/>
        </w:rPr>
      </w:pPr>
      <w:r>
        <w:rPr>
          <w:rFonts w:ascii="Times New Roman" w:hAnsi="Times New Roman" w:eastAsia="Times New Roman"/>
          <w:b/>
          <w:sz w:val="24"/>
          <w:szCs w:val="24"/>
        </w:rPr>
        <w:t>Appendix</w:t>
      </w:r>
    </w:p>
    <w:p>
      <w:pPr>
        <w:spacing w:before="120" w:after="120" w:line="260" w:lineRule="auto"/>
        <w:outlineLvl w:val="1"/>
        <w:rPr>
          <w:b/>
          <w:bCs/>
          <w:szCs w:val="22"/>
        </w:rPr>
      </w:pPr>
      <w:r>
        <w:rPr>
          <w:rFonts w:hint="eastAsia"/>
          <w:b/>
          <w:bCs/>
          <w:szCs w:val="22"/>
        </w:rPr>
        <w:t>A.</w:t>
      </w:r>
      <w:r>
        <w:rPr>
          <w:b/>
          <w:bCs/>
          <w:szCs w:val="22"/>
        </w:rPr>
        <w:t xml:space="preserve">1: </w:t>
      </w:r>
      <w:r>
        <w:rPr>
          <w:rFonts w:hint="eastAsia"/>
          <w:b/>
          <w:bCs/>
          <w:szCs w:val="22"/>
        </w:rPr>
        <w:t>Simulation assumption</w:t>
      </w:r>
      <w:r>
        <w:rPr>
          <w:b/>
          <w:bCs/>
          <w:szCs w:val="22"/>
        </w:rPr>
        <w:t>s</w:t>
      </w:r>
    </w:p>
    <w:p>
      <w:pPr>
        <w:spacing w:before="120" w:after="120" w:line="260" w:lineRule="auto"/>
      </w:pPr>
      <w:r>
        <w:rPr>
          <w:rFonts w:hint="eastAsia"/>
        </w:rPr>
        <w:t xml:space="preserve">In this contribution, only FR1 is evaluated. </w:t>
      </w:r>
      <w:r>
        <w:t>The following Rel-15 / 16 features of the power saving solutions</w:t>
      </w:r>
      <w:r>
        <w:rPr>
          <w:rFonts w:hint="eastAsia"/>
        </w:rPr>
        <w:t xml:space="preserve"> are</w:t>
      </w:r>
      <w:r>
        <w:t xml:space="preserve"> </w:t>
      </w:r>
      <w:r>
        <w:rPr>
          <w:rFonts w:hint="eastAsia"/>
        </w:rPr>
        <w:t xml:space="preserve">used as </w:t>
      </w:r>
      <w:r>
        <w:t xml:space="preserve">the baseline. </w:t>
      </w:r>
    </w:p>
    <w:p>
      <w:pPr>
        <w:pStyle w:val="35"/>
        <w:numPr>
          <w:ilvl w:val="0"/>
          <w:numId w:val="13"/>
        </w:numPr>
        <w:spacing w:after="120" w:line="260" w:lineRule="auto"/>
        <w:rPr>
          <w:sz w:val="20"/>
          <w:szCs w:val="20"/>
        </w:rPr>
      </w:pPr>
      <w:r>
        <w:rPr>
          <w:sz w:val="20"/>
          <w:szCs w:val="20"/>
        </w:rPr>
        <w:t>DRX</w:t>
      </w:r>
    </w:p>
    <w:p>
      <w:pPr>
        <w:pStyle w:val="35"/>
        <w:numPr>
          <w:ilvl w:val="1"/>
          <w:numId w:val="13"/>
        </w:numPr>
        <w:spacing w:after="120" w:line="260" w:lineRule="auto"/>
        <w:rPr>
          <w:sz w:val="20"/>
          <w:szCs w:val="20"/>
        </w:rPr>
      </w:pPr>
      <w:r>
        <w:rPr>
          <w:sz w:val="20"/>
          <w:szCs w:val="20"/>
        </w:rPr>
        <w:t xml:space="preserve">C-DRX cycle 40msec for </w:t>
      </w:r>
      <w:r>
        <w:rPr>
          <w:rFonts w:hint="eastAsia" w:eastAsia="宋体"/>
          <w:sz w:val="20"/>
          <w:szCs w:val="20"/>
        </w:rPr>
        <w:t>Data-intensive traffic</w:t>
      </w:r>
    </w:p>
    <w:p>
      <w:pPr>
        <w:pStyle w:val="35"/>
        <w:numPr>
          <w:ilvl w:val="2"/>
          <w:numId w:val="13"/>
        </w:numPr>
        <w:spacing w:after="120" w:line="260" w:lineRule="auto"/>
        <w:rPr>
          <w:sz w:val="20"/>
          <w:szCs w:val="20"/>
        </w:rPr>
      </w:pPr>
      <w:r>
        <w:rPr>
          <w:sz w:val="20"/>
          <w:szCs w:val="20"/>
        </w:rPr>
        <w:t>10ms IAT, 8ms On-duration</w:t>
      </w:r>
    </w:p>
    <w:p>
      <w:pPr>
        <w:pStyle w:val="35"/>
        <w:numPr>
          <w:ilvl w:val="1"/>
          <w:numId w:val="13"/>
        </w:numPr>
        <w:spacing w:after="120" w:line="260" w:lineRule="auto"/>
        <w:rPr>
          <w:sz w:val="20"/>
          <w:szCs w:val="20"/>
        </w:rPr>
      </w:pPr>
      <w:r>
        <w:rPr>
          <w:sz w:val="20"/>
          <w:szCs w:val="20"/>
        </w:rPr>
        <w:t>C-DRX cycle 40msec for VoIP</w:t>
      </w:r>
    </w:p>
    <w:p>
      <w:pPr>
        <w:pStyle w:val="35"/>
        <w:numPr>
          <w:ilvl w:val="2"/>
          <w:numId w:val="13"/>
        </w:numPr>
        <w:spacing w:after="120" w:line="260" w:lineRule="auto"/>
        <w:rPr>
          <w:sz w:val="20"/>
          <w:szCs w:val="20"/>
        </w:rPr>
      </w:pPr>
      <w:r>
        <w:rPr>
          <w:sz w:val="20"/>
          <w:szCs w:val="20"/>
        </w:rPr>
        <w:t>10ms IAT, 8ms On-duration</w:t>
      </w:r>
    </w:p>
    <w:p>
      <w:pPr>
        <w:pStyle w:val="35"/>
        <w:numPr>
          <w:ilvl w:val="1"/>
          <w:numId w:val="13"/>
        </w:numPr>
        <w:spacing w:after="120" w:line="260" w:lineRule="auto"/>
        <w:rPr>
          <w:sz w:val="20"/>
          <w:szCs w:val="20"/>
        </w:rPr>
      </w:pPr>
      <w:r>
        <w:rPr>
          <w:sz w:val="20"/>
          <w:szCs w:val="20"/>
        </w:rPr>
        <w:t>C-DRX cycle 160msec for FTP 3</w:t>
      </w:r>
    </w:p>
    <w:p>
      <w:pPr>
        <w:pStyle w:val="35"/>
        <w:numPr>
          <w:ilvl w:val="2"/>
          <w:numId w:val="13"/>
        </w:numPr>
        <w:spacing w:after="120" w:line="260" w:lineRule="auto"/>
        <w:rPr>
          <w:sz w:val="20"/>
          <w:szCs w:val="20"/>
        </w:rPr>
      </w:pPr>
      <w:r>
        <w:rPr>
          <w:sz w:val="20"/>
          <w:szCs w:val="20"/>
        </w:rPr>
        <w:t>short DRX</w:t>
      </w:r>
    </w:p>
    <w:p>
      <w:pPr>
        <w:pStyle w:val="35"/>
        <w:numPr>
          <w:ilvl w:val="3"/>
          <w:numId w:val="14"/>
        </w:numPr>
        <w:spacing w:after="120" w:line="260" w:lineRule="auto"/>
        <w:rPr>
          <w:sz w:val="20"/>
          <w:szCs w:val="20"/>
        </w:rPr>
      </w:pPr>
      <w:r>
        <w:rPr>
          <w:sz w:val="20"/>
          <w:szCs w:val="20"/>
        </w:rPr>
        <w:t>20 ms IAT, 8ms On-duration</w:t>
      </w:r>
    </w:p>
    <w:p>
      <w:pPr>
        <w:pStyle w:val="35"/>
        <w:numPr>
          <w:ilvl w:val="3"/>
          <w:numId w:val="14"/>
        </w:numPr>
        <w:spacing w:after="120" w:line="260" w:lineRule="auto"/>
        <w:rPr>
          <w:sz w:val="20"/>
          <w:szCs w:val="20"/>
        </w:rPr>
      </w:pPr>
      <w:r>
        <w:rPr>
          <w:sz w:val="20"/>
          <w:szCs w:val="20"/>
        </w:rPr>
        <w:t>20 ms for short DRX cycle, 4 cycles</w:t>
      </w:r>
    </w:p>
    <w:p>
      <w:pPr>
        <w:numPr>
          <w:ilvl w:val="0"/>
          <w:numId w:val="13"/>
        </w:numPr>
        <w:spacing w:before="120" w:after="120" w:line="260" w:lineRule="auto"/>
      </w:pPr>
      <w:r>
        <w:rPr>
          <w:rFonts w:hint="eastAsia"/>
        </w:rPr>
        <w:t>DCP</w:t>
      </w:r>
      <w:r>
        <w:t xml:space="preserve"> for DRX adaptation</w:t>
      </w:r>
      <w:r>
        <w:rPr>
          <w:rFonts w:hint="eastAsia"/>
        </w:rPr>
        <w:t xml:space="preserve"> for baseline with DCP</w:t>
      </w:r>
      <w:r>
        <w:t>,</w:t>
      </w:r>
    </w:p>
    <w:p>
      <w:pPr>
        <w:numPr>
          <w:ilvl w:val="1"/>
          <w:numId w:val="13"/>
        </w:numPr>
        <w:spacing w:before="120" w:after="120" w:line="260" w:lineRule="auto"/>
      </w:pPr>
      <w:r>
        <w:t>T</w:t>
      </w:r>
      <w:r>
        <w:rPr>
          <w:rFonts w:hint="eastAsia"/>
        </w:rPr>
        <w:t xml:space="preserve">he minimum time gap </w:t>
      </w:r>
      <w:r>
        <w:t xml:space="preserve">before DRX OnDuration </w:t>
      </w:r>
      <w:r>
        <w:rPr>
          <w:rFonts w:hint="eastAsia"/>
        </w:rPr>
        <w:t>is 1 slot for FR1</w:t>
      </w:r>
    </w:p>
    <w:p>
      <w:pPr>
        <w:numPr>
          <w:ilvl w:val="1"/>
          <w:numId w:val="13"/>
        </w:numPr>
        <w:spacing w:before="120" w:after="120" w:line="260" w:lineRule="auto"/>
      </w:pPr>
      <w:r>
        <w:rPr>
          <w:rFonts w:hint="eastAsia"/>
        </w:rPr>
        <w:t>Power unit is 50 for WUS.</w:t>
      </w:r>
    </w:p>
    <w:p>
      <w:pPr>
        <w:numPr>
          <w:ilvl w:val="0"/>
          <w:numId w:val="13"/>
        </w:numPr>
        <w:spacing w:before="120" w:after="120" w:line="260" w:lineRule="auto"/>
      </w:pPr>
      <w:r>
        <w:t>BWP switching, including</w:t>
      </w:r>
    </w:p>
    <w:p>
      <w:pPr>
        <w:numPr>
          <w:ilvl w:val="1"/>
          <w:numId w:val="13"/>
        </w:numPr>
        <w:spacing w:before="120" w:after="120" w:line="260" w:lineRule="auto"/>
      </w:pPr>
      <w:r>
        <w:t>BWP</w:t>
      </w:r>
      <w:r>
        <w:rPr>
          <w:rFonts w:hint="eastAsia"/>
        </w:rPr>
        <w:t xml:space="preserve"> for power saving</w:t>
      </w:r>
      <w:r>
        <w:t>:</w:t>
      </w:r>
    </w:p>
    <w:p>
      <w:pPr>
        <w:numPr>
          <w:ilvl w:val="2"/>
          <w:numId w:val="13"/>
        </w:numPr>
        <w:spacing w:before="120" w:after="120" w:line="260" w:lineRule="auto"/>
      </w:pPr>
      <w:r>
        <w:rPr>
          <w:rFonts w:hint="eastAsia"/>
        </w:rPr>
        <w:t xml:space="preserve">Bandwidth: </w:t>
      </w:r>
      <w:r>
        <w:t>20MHz</w:t>
      </w:r>
    </w:p>
    <w:p>
      <w:pPr>
        <w:numPr>
          <w:ilvl w:val="2"/>
          <w:numId w:val="13"/>
        </w:numPr>
        <w:spacing w:before="120" w:after="120" w:line="260" w:lineRule="auto"/>
      </w:pPr>
      <w:r>
        <w:rPr>
          <w:rFonts w:hint="eastAsia"/>
        </w:rPr>
        <w:t>Max # of MIMO layer:</w:t>
      </w:r>
      <w:r>
        <w:t xml:space="preserve"> </w:t>
      </w:r>
      <w:r>
        <w:rPr>
          <w:rFonts w:hint="eastAsia"/>
        </w:rPr>
        <w:t>2 layer</w:t>
      </w:r>
    </w:p>
    <w:p>
      <w:pPr>
        <w:numPr>
          <w:ilvl w:val="2"/>
          <w:numId w:val="13"/>
        </w:numPr>
        <w:spacing w:before="120" w:after="120" w:line="260" w:lineRule="auto"/>
      </w:pPr>
      <w:r>
        <w:rPr>
          <w:rFonts w:hint="eastAsia"/>
        </w:rPr>
        <w:t xml:space="preserve">Scheduling technique: </w:t>
      </w:r>
      <w:r>
        <w:t>cross-slot scheduling</w:t>
      </w:r>
      <w:r>
        <w:rPr>
          <w:rFonts w:hint="eastAsia"/>
        </w:rPr>
        <w:t>(Minimum K0 is 1)</w:t>
      </w:r>
    </w:p>
    <w:p>
      <w:pPr>
        <w:numPr>
          <w:ilvl w:val="2"/>
          <w:numId w:val="13"/>
        </w:numPr>
        <w:spacing w:before="120" w:after="120" w:line="260" w:lineRule="auto"/>
      </w:pPr>
      <w:r>
        <w:t>PDCCH monitoring period</w:t>
      </w:r>
      <w:r>
        <w:rPr>
          <w:rFonts w:hint="eastAsia"/>
        </w:rPr>
        <w:t>: per 2 slots</w:t>
      </w:r>
    </w:p>
    <w:p>
      <w:pPr>
        <w:numPr>
          <w:ilvl w:val="1"/>
          <w:numId w:val="13"/>
        </w:numPr>
        <w:spacing w:before="120" w:after="120" w:line="260" w:lineRule="auto"/>
      </w:pPr>
      <w:r>
        <w:t>BWP</w:t>
      </w:r>
      <w:r>
        <w:rPr>
          <w:rFonts w:hint="eastAsia"/>
        </w:rPr>
        <w:t xml:space="preserve"> for data scheduling</w:t>
      </w:r>
      <w:r>
        <w:t xml:space="preserve">: </w:t>
      </w:r>
    </w:p>
    <w:p>
      <w:pPr>
        <w:numPr>
          <w:ilvl w:val="2"/>
          <w:numId w:val="13"/>
        </w:numPr>
        <w:spacing w:before="120" w:after="120" w:line="260" w:lineRule="auto"/>
      </w:pPr>
      <w:r>
        <w:rPr>
          <w:rFonts w:hint="eastAsia"/>
        </w:rPr>
        <w:t>Bandwidth: 10</w:t>
      </w:r>
      <w:r>
        <w:t>0MHz</w:t>
      </w:r>
    </w:p>
    <w:p>
      <w:pPr>
        <w:numPr>
          <w:ilvl w:val="2"/>
          <w:numId w:val="13"/>
        </w:numPr>
        <w:spacing w:before="120" w:after="120" w:line="260" w:lineRule="auto"/>
      </w:pPr>
      <w:r>
        <w:rPr>
          <w:rFonts w:hint="eastAsia"/>
        </w:rPr>
        <w:t>Max # of MIMO layer:</w:t>
      </w:r>
      <w:r>
        <w:t xml:space="preserve"> </w:t>
      </w:r>
      <w:r>
        <w:rPr>
          <w:rFonts w:hint="eastAsia"/>
        </w:rPr>
        <w:t>4 layer</w:t>
      </w:r>
    </w:p>
    <w:p>
      <w:pPr>
        <w:numPr>
          <w:ilvl w:val="2"/>
          <w:numId w:val="13"/>
        </w:numPr>
        <w:spacing w:before="120" w:after="120" w:line="260" w:lineRule="auto"/>
      </w:pPr>
      <w:r>
        <w:rPr>
          <w:rFonts w:hint="eastAsia"/>
        </w:rPr>
        <w:t>Scheduling technique: same</w:t>
      </w:r>
      <w:r>
        <w:t>-slot scheduling</w:t>
      </w:r>
      <w:r>
        <w:rPr>
          <w:rFonts w:hint="eastAsia"/>
        </w:rPr>
        <w:t>(Minimum K0 is 0)</w:t>
      </w:r>
    </w:p>
    <w:p>
      <w:pPr>
        <w:numPr>
          <w:ilvl w:val="2"/>
          <w:numId w:val="13"/>
        </w:numPr>
        <w:spacing w:before="120" w:after="120" w:line="260" w:lineRule="auto"/>
      </w:pPr>
      <w:r>
        <w:t>PDCCH monitoring period</w:t>
      </w:r>
      <w:r>
        <w:rPr>
          <w:rFonts w:hint="eastAsia"/>
        </w:rPr>
        <w:t>: per slot</w:t>
      </w:r>
    </w:p>
    <w:p>
      <w:pPr>
        <w:numPr>
          <w:ilvl w:val="1"/>
          <w:numId w:val="13"/>
        </w:numPr>
        <w:spacing w:before="120" w:after="120" w:line="260" w:lineRule="auto"/>
      </w:pPr>
      <w:r>
        <w:t xml:space="preserve">Note: </w:t>
      </w:r>
    </w:p>
    <w:p>
      <w:pPr>
        <w:numPr>
          <w:ilvl w:val="2"/>
          <w:numId w:val="13"/>
        </w:numPr>
        <w:spacing w:before="120" w:after="120" w:line="260" w:lineRule="auto"/>
      </w:pPr>
      <w:r>
        <w:t>BWP</w:t>
      </w:r>
      <w:r>
        <w:rPr>
          <w:rFonts w:hint="eastAsia"/>
        </w:rPr>
        <w:t xml:space="preserve"> for power saving</w:t>
      </w:r>
      <w:r>
        <w:t xml:space="preserve"> is a default BWP without data scheduling and BWP</w:t>
      </w:r>
      <w:r>
        <w:rPr>
          <w:rFonts w:hint="eastAsia"/>
        </w:rPr>
        <w:t xml:space="preserve"> for data scheduling</w:t>
      </w:r>
      <w:r>
        <w:t xml:space="preserve"> is used for data transmission. For example, when data packet arrives, UE is indicated by DCI to switch to BWP</w:t>
      </w:r>
      <w:r>
        <w:rPr>
          <w:rFonts w:hint="eastAsia"/>
        </w:rPr>
        <w:t xml:space="preserve"> for data scheduling</w:t>
      </w:r>
      <w:r>
        <w:t xml:space="preserve"> to perform DL/UL data transmission. UE will fall back to BWP</w:t>
      </w:r>
      <w:r>
        <w:rPr>
          <w:rFonts w:hint="eastAsia"/>
        </w:rPr>
        <w:t xml:space="preserve"> for power saving</w:t>
      </w:r>
      <w:r>
        <w:t xml:space="preserve"> after BWP inactivity timer expires</w:t>
      </w:r>
    </w:p>
    <w:p>
      <w:pPr>
        <w:numPr>
          <w:ilvl w:val="2"/>
          <w:numId w:val="13"/>
        </w:numPr>
        <w:spacing w:before="120" w:after="120" w:line="260" w:lineRule="auto"/>
      </w:pPr>
      <w:r>
        <w:t>Type 2 BWP switch delay is assumed</w:t>
      </w:r>
    </w:p>
    <w:p>
      <w:pPr>
        <w:numPr>
          <w:ilvl w:val="2"/>
          <w:numId w:val="13"/>
        </w:numPr>
        <w:spacing w:before="120" w:after="120" w:line="260" w:lineRule="auto"/>
      </w:pPr>
      <w:r>
        <w:t>BWP switching is Y (ms) after last packet/data burst.</w:t>
      </w:r>
    </w:p>
    <w:p>
      <w:pPr>
        <w:numPr>
          <w:ilvl w:val="2"/>
          <w:numId w:val="13"/>
        </w:numPr>
        <w:spacing w:before="120" w:after="120" w:line="260" w:lineRule="auto"/>
      </w:pPr>
      <w:r>
        <w:rPr>
          <w:rFonts w:hint="eastAsia"/>
        </w:rPr>
        <w:t>Y is 30 for FTP and 20 for VoIP</w:t>
      </w:r>
      <w:r>
        <w:t xml:space="preserve"> </w:t>
      </w:r>
    </w:p>
    <w:p>
      <w:pPr>
        <w:numPr>
          <w:ilvl w:val="2"/>
          <w:numId w:val="13"/>
        </w:numPr>
        <w:spacing w:before="120" w:after="120" w:line="260" w:lineRule="auto"/>
      </w:pPr>
      <w:r>
        <w:t xml:space="preserve">The </w:t>
      </w:r>
      <w:r>
        <w:rPr>
          <w:rFonts w:hint="eastAsia"/>
        </w:rPr>
        <w:t>CSI-RS measurement and report</w:t>
      </w:r>
      <w:r>
        <w:t>ing</w:t>
      </w:r>
      <w:r>
        <w:rPr>
          <w:rFonts w:hint="eastAsia"/>
        </w:rPr>
        <w:t xml:space="preserve"> are </w:t>
      </w:r>
      <w:r>
        <w:t xml:space="preserve">also considered in the </w:t>
      </w:r>
      <w:r>
        <w:rPr>
          <w:rFonts w:hint="eastAsia"/>
        </w:rPr>
        <w:t>simulation assumption.</w:t>
      </w:r>
    </w:p>
    <w:p>
      <w:pPr>
        <w:numPr>
          <w:ilvl w:val="3"/>
          <w:numId w:val="13"/>
        </w:numPr>
        <w:spacing w:before="120" w:after="120" w:line="260" w:lineRule="auto"/>
      </w:pPr>
      <w:r>
        <w:rPr>
          <w:rFonts w:hint="eastAsia"/>
        </w:rPr>
        <w:t xml:space="preserve"> For CSI-RS measurement, the periodicity is equal to max</w:t>
      </w:r>
      <w:r>
        <w:t xml:space="preserve"> </w:t>
      </w:r>
      <w:r>
        <w:rPr>
          <w:rFonts w:hint="eastAsia"/>
        </w:rPr>
        <w:t>(C</w:t>
      </w:r>
      <w:r>
        <w:t>-</w:t>
      </w:r>
      <w:r>
        <w:rPr>
          <w:rFonts w:hint="eastAsia"/>
        </w:rPr>
        <w:t>DRX cycle, 160ms)</w:t>
      </w:r>
      <w:r>
        <w:t>. The</w:t>
      </w:r>
      <w:r>
        <w:rPr>
          <w:rFonts w:hint="eastAsia"/>
        </w:rPr>
        <w:t xml:space="preserve"> CSI-RS measurement </w:t>
      </w:r>
      <w:r>
        <w:t>duration is</w:t>
      </w:r>
      <w:r>
        <w:rPr>
          <w:rFonts w:hint="eastAsia"/>
        </w:rPr>
        <w:t xml:space="preserve"> one slot.</w:t>
      </w:r>
    </w:p>
    <w:p>
      <w:pPr>
        <w:numPr>
          <w:ilvl w:val="3"/>
          <w:numId w:val="13"/>
        </w:numPr>
        <w:spacing w:before="120" w:after="120" w:line="260" w:lineRule="auto"/>
      </w:pPr>
      <w:r>
        <w:rPr>
          <w:rFonts w:hint="eastAsia"/>
        </w:rPr>
        <w:t xml:space="preserve"> The UE performs CSI-RS measurement in the active BWP.</w:t>
      </w:r>
    </w:p>
    <w:p>
      <w:pPr>
        <w:spacing w:before="120" w:after="120" w:line="260" w:lineRule="auto"/>
        <w:outlineLvl w:val="1"/>
        <w:rPr>
          <w:b/>
          <w:bCs/>
          <w:szCs w:val="22"/>
        </w:rPr>
      </w:pPr>
      <w:r>
        <w:rPr>
          <w:b/>
          <w:bCs/>
          <w:szCs w:val="22"/>
        </w:rPr>
        <w:t>A</w:t>
      </w:r>
      <w:r>
        <w:rPr>
          <w:rFonts w:hint="eastAsia"/>
          <w:b/>
          <w:bCs/>
          <w:szCs w:val="22"/>
        </w:rPr>
        <w:t>.</w:t>
      </w:r>
      <w:r>
        <w:rPr>
          <w:b/>
          <w:bCs/>
          <w:szCs w:val="22"/>
        </w:rPr>
        <w:t>2:</w:t>
      </w:r>
      <w:r>
        <w:rPr>
          <w:rFonts w:hint="eastAsia"/>
          <w:b/>
          <w:bCs/>
          <w:szCs w:val="22"/>
        </w:rPr>
        <w:t xml:space="preserve"> Traffic models</w:t>
      </w:r>
    </w:p>
    <w:p>
      <w:pPr>
        <w:spacing w:before="120" w:after="120" w:line="260" w:lineRule="auto"/>
      </w:pPr>
      <w:r>
        <w:rPr>
          <w:rFonts w:hint="eastAsia"/>
        </w:rPr>
        <w:t xml:space="preserve">In this contribution, FTP 3 and VoIP traffic models are used. </w:t>
      </w:r>
    </w:p>
    <w:p>
      <w:pPr>
        <w:spacing w:before="120" w:after="120" w:line="260" w:lineRule="auto"/>
        <w:jc w:val="center"/>
        <w:rPr>
          <w:b/>
        </w:rPr>
      </w:pPr>
      <w:r>
        <w:rPr>
          <w:rFonts w:hint="eastAsia"/>
          <w:b/>
        </w:rPr>
        <w:t>Table A.1 Traffic model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8"/>
        <w:gridCol w:w="1277"/>
        <w:gridCol w:w="2365"/>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8" w:type="dxa"/>
            <w:vAlign w:val="center"/>
          </w:tcPr>
          <w:p>
            <w:pPr>
              <w:spacing w:before="120" w:after="120"/>
              <w:rPr>
                <w:color w:val="000000"/>
              </w:rPr>
            </w:pPr>
            <w:r>
              <w:rPr>
                <w:rFonts w:hint="eastAsia"/>
                <w:color w:val="000000"/>
              </w:rPr>
              <w:t>Traffic model</w:t>
            </w:r>
          </w:p>
        </w:tc>
        <w:tc>
          <w:tcPr>
            <w:tcW w:w="1277" w:type="dxa"/>
            <w:vAlign w:val="center"/>
          </w:tcPr>
          <w:p>
            <w:pPr>
              <w:spacing w:before="120" w:after="120"/>
              <w:rPr>
                <w:color w:val="000000"/>
              </w:rPr>
            </w:pPr>
            <w:r>
              <w:rPr>
                <w:rFonts w:hint="eastAsia"/>
                <w:color w:val="000000"/>
              </w:rPr>
              <w:t>FTP3</w:t>
            </w:r>
          </w:p>
        </w:tc>
        <w:tc>
          <w:tcPr>
            <w:tcW w:w="2365" w:type="dxa"/>
            <w:vAlign w:val="center"/>
          </w:tcPr>
          <w:p>
            <w:pPr>
              <w:spacing w:before="120" w:after="120"/>
              <w:rPr>
                <w:color w:val="000000"/>
              </w:rPr>
            </w:pPr>
            <w:r>
              <w:rPr>
                <w:rFonts w:hint="eastAsia"/>
                <w:color w:val="000000"/>
              </w:rPr>
              <w:t>VOIP</w:t>
            </w:r>
          </w:p>
        </w:tc>
        <w:tc>
          <w:tcPr>
            <w:tcW w:w="1927" w:type="dxa"/>
            <w:vAlign w:val="center"/>
          </w:tcPr>
          <w:p>
            <w:pPr>
              <w:spacing w:before="120" w:after="120"/>
              <w:rPr>
                <w:color w:val="000000"/>
              </w:rPr>
            </w:pPr>
            <w:r>
              <w:rPr>
                <w:rFonts w:hint="eastAsia"/>
                <w:color w:val="000000"/>
              </w:rPr>
              <w:t xml:space="preserve">Data-intensive traffic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8" w:type="dxa"/>
            <w:vAlign w:val="center"/>
          </w:tcPr>
          <w:p>
            <w:pPr>
              <w:spacing w:before="120" w:after="120"/>
              <w:rPr>
                <w:color w:val="000000"/>
              </w:rPr>
            </w:pPr>
            <w:r>
              <w:rPr>
                <w:rFonts w:hint="eastAsia"/>
                <w:color w:val="000000"/>
              </w:rPr>
              <w:t>Model</w:t>
            </w:r>
          </w:p>
        </w:tc>
        <w:tc>
          <w:tcPr>
            <w:tcW w:w="1277" w:type="dxa"/>
            <w:vAlign w:val="center"/>
          </w:tcPr>
          <w:p>
            <w:pPr>
              <w:spacing w:before="120" w:after="120"/>
              <w:rPr>
                <w:color w:val="000000"/>
              </w:rPr>
            </w:pPr>
            <w:r>
              <w:rPr>
                <w:color w:val="000000"/>
              </w:rPr>
              <w:t>FTP model 3</w:t>
            </w:r>
          </w:p>
        </w:tc>
        <w:tc>
          <w:tcPr>
            <w:tcW w:w="2365" w:type="dxa"/>
            <w:vMerge w:val="restart"/>
            <w:vAlign w:val="center"/>
          </w:tcPr>
          <w:p>
            <w:pPr>
              <w:pStyle w:val="57"/>
              <w:spacing w:before="120" w:after="120"/>
              <w:rPr>
                <w:rFonts w:ascii="Times New Roman" w:hAnsi="Times New Roman"/>
                <w:color w:val="000000"/>
                <w:sz w:val="20"/>
              </w:rPr>
            </w:pPr>
            <w:r>
              <w:rPr>
                <w:rFonts w:ascii="Times New Roman" w:hAnsi="Times New Roman"/>
                <w:color w:val="000000"/>
                <w:sz w:val="20"/>
              </w:rPr>
              <w:t>As defined in R1-070674.</w:t>
            </w:r>
          </w:p>
          <w:p>
            <w:pPr>
              <w:spacing w:before="120" w:after="120"/>
              <w:rPr>
                <w:color w:val="000000"/>
              </w:rPr>
            </w:pPr>
            <w:r>
              <w:rPr>
                <w:color w:val="000000"/>
              </w:rPr>
              <w:t>Assume max two packets bundled.</w:t>
            </w:r>
          </w:p>
        </w:tc>
        <w:tc>
          <w:tcPr>
            <w:tcW w:w="1927" w:type="dxa"/>
            <w:vAlign w:val="center"/>
          </w:tcPr>
          <w:p>
            <w:pPr>
              <w:spacing w:before="120" w:after="120"/>
              <w:rPr>
                <w:color w:val="000000"/>
              </w:rPr>
            </w:pPr>
            <w:r>
              <w:rPr>
                <w:color w:val="000000"/>
              </w:rPr>
              <w:t>FTP model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8" w:type="dxa"/>
            <w:vAlign w:val="center"/>
          </w:tcPr>
          <w:p>
            <w:pPr>
              <w:spacing w:before="120" w:after="120"/>
              <w:rPr>
                <w:color w:val="000000"/>
              </w:rPr>
            </w:pPr>
            <w:r>
              <w:rPr>
                <w:rFonts w:hint="eastAsia"/>
                <w:color w:val="000000"/>
              </w:rPr>
              <w:t>Mean arrive time</w:t>
            </w:r>
          </w:p>
        </w:tc>
        <w:tc>
          <w:tcPr>
            <w:tcW w:w="1277" w:type="dxa"/>
            <w:vAlign w:val="center"/>
          </w:tcPr>
          <w:p>
            <w:pPr>
              <w:spacing w:before="120" w:after="120"/>
              <w:rPr>
                <w:color w:val="000000"/>
              </w:rPr>
            </w:pPr>
            <w:r>
              <w:rPr>
                <w:rFonts w:hint="eastAsia"/>
                <w:color w:val="000000"/>
              </w:rPr>
              <w:t>200ms</w:t>
            </w:r>
          </w:p>
        </w:tc>
        <w:tc>
          <w:tcPr>
            <w:tcW w:w="2365" w:type="dxa"/>
            <w:vMerge w:val="continue"/>
            <w:vAlign w:val="center"/>
          </w:tcPr>
          <w:p>
            <w:pPr>
              <w:spacing w:before="120" w:after="120"/>
              <w:rPr>
                <w:color w:val="000000"/>
              </w:rPr>
            </w:pPr>
          </w:p>
        </w:tc>
        <w:tc>
          <w:tcPr>
            <w:tcW w:w="1927" w:type="dxa"/>
            <w:vAlign w:val="center"/>
          </w:tcPr>
          <w:p>
            <w:pPr>
              <w:spacing w:before="120" w:after="120"/>
              <w:rPr>
                <w:color w:val="000000"/>
              </w:rPr>
            </w:pPr>
            <w:r>
              <w:rPr>
                <w:rFonts w:hint="eastAsia"/>
                <w:color w:val="000000"/>
              </w:rPr>
              <w:t>50ms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8" w:type="dxa"/>
            <w:vAlign w:val="center"/>
          </w:tcPr>
          <w:p>
            <w:pPr>
              <w:spacing w:before="120" w:after="120"/>
              <w:rPr>
                <w:color w:val="000000"/>
              </w:rPr>
            </w:pPr>
            <w:r>
              <w:rPr>
                <w:rFonts w:hint="eastAsia"/>
                <w:color w:val="000000"/>
              </w:rPr>
              <w:t>Payload</w:t>
            </w:r>
          </w:p>
        </w:tc>
        <w:tc>
          <w:tcPr>
            <w:tcW w:w="1277" w:type="dxa"/>
            <w:vAlign w:val="center"/>
          </w:tcPr>
          <w:p>
            <w:pPr>
              <w:spacing w:before="120" w:after="120"/>
              <w:rPr>
                <w:color w:val="000000"/>
              </w:rPr>
            </w:pPr>
            <w:r>
              <w:rPr>
                <w:rFonts w:hint="eastAsia"/>
                <w:color w:val="000000"/>
              </w:rPr>
              <w:t>0.5Mbytes</w:t>
            </w:r>
          </w:p>
        </w:tc>
        <w:tc>
          <w:tcPr>
            <w:tcW w:w="2365" w:type="dxa"/>
            <w:vMerge w:val="continue"/>
            <w:vAlign w:val="center"/>
          </w:tcPr>
          <w:p>
            <w:pPr>
              <w:spacing w:before="120" w:after="120"/>
              <w:rPr>
                <w:color w:val="000000"/>
              </w:rPr>
            </w:pPr>
          </w:p>
        </w:tc>
        <w:tc>
          <w:tcPr>
            <w:tcW w:w="1927" w:type="dxa"/>
            <w:vAlign w:val="center"/>
          </w:tcPr>
          <w:p>
            <w:pPr>
              <w:spacing w:before="120" w:after="120"/>
              <w:rPr>
                <w:color w:val="000000"/>
              </w:rPr>
            </w:pPr>
            <w:r>
              <w:rPr>
                <w:rFonts w:hint="eastAsia"/>
                <w:color w:val="000000"/>
              </w:rPr>
              <w:t>0.1Mbytes</w:t>
            </w:r>
          </w:p>
        </w:tc>
      </w:tr>
    </w:tbl>
    <w:p>
      <w:pPr>
        <w:pStyle w:val="6"/>
        <w:tabs>
          <w:tab w:val="left" w:pos="420"/>
        </w:tabs>
        <w:snapToGrid w:val="0"/>
        <w:spacing w:before="120" w:after="120" w:line="268" w:lineRule="auto"/>
        <w:contextualSpacing/>
        <w:rPr>
          <w:szCs w:val="22"/>
        </w:rPr>
      </w:pPr>
    </w:p>
    <w:p>
      <w:pPr>
        <w:pStyle w:val="6"/>
        <w:tabs>
          <w:tab w:val="left" w:pos="420"/>
        </w:tabs>
        <w:snapToGrid w:val="0"/>
        <w:spacing w:before="120" w:after="120" w:line="268" w:lineRule="auto"/>
        <w:contextualSpacing/>
        <w:outlineLvl w:val="1"/>
        <w:rPr>
          <w:b/>
          <w:bCs/>
          <w:szCs w:val="22"/>
        </w:rPr>
      </w:pPr>
      <w:r>
        <w:rPr>
          <w:b/>
          <w:bCs/>
          <w:szCs w:val="22"/>
        </w:rPr>
        <w:t>A</w:t>
      </w:r>
      <w:r>
        <w:rPr>
          <w:rFonts w:hint="eastAsia"/>
          <w:b/>
          <w:bCs/>
          <w:szCs w:val="22"/>
        </w:rPr>
        <w:t>.</w:t>
      </w:r>
      <w:r>
        <w:rPr>
          <w:b/>
          <w:bCs/>
          <w:szCs w:val="22"/>
        </w:rPr>
        <w:t>3:</w:t>
      </w:r>
      <w:r>
        <w:rPr>
          <w:rFonts w:hint="eastAsia"/>
          <w:b/>
          <w:bCs/>
          <w:szCs w:val="22"/>
        </w:rPr>
        <w:t xml:space="preserve"> Simulation results</w:t>
      </w:r>
    </w:p>
    <w:p>
      <w:pPr>
        <w:spacing w:before="120" w:after="120" w:line="260" w:lineRule="auto"/>
        <w:jc w:val="center"/>
        <w:rPr>
          <w:b/>
        </w:rPr>
      </w:pPr>
      <w:r>
        <w:rPr>
          <w:rFonts w:hint="eastAsia"/>
          <w:b/>
        </w:rPr>
        <w:t xml:space="preserve">Table A.2 Mean power </w:t>
      </w:r>
      <w:r>
        <w:rPr>
          <w:b/>
        </w:rPr>
        <w:t>consumption</w:t>
      </w:r>
      <w:r>
        <w:rPr>
          <w:rFonts w:hint="eastAsia"/>
          <w:b/>
        </w:rPr>
        <w:t xml:space="preserve"> with DCP configuration </w:t>
      </w:r>
    </w:p>
    <w:tbl>
      <w:tblPr>
        <w:tblStyle w:val="17"/>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1005"/>
        <w:gridCol w:w="1282"/>
        <w:gridCol w:w="1554"/>
        <w:gridCol w:w="1554"/>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610" w:type="dxa"/>
          </w:tcPr>
          <w:p>
            <w:pPr>
              <w:spacing w:before="120" w:after="120" w:line="260" w:lineRule="auto"/>
              <w:jc w:val="center"/>
              <w:rPr>
                <w:bCs/>
              </w:rPr>
            </w:pPr>
            <w:r>
              <w:rPr>
                <w:rFonts w:hint="eastAsia"/>
                <w:bCs/>
              </w:rPr>
              <w:t>Mean power consumption</w:t>
            </w:r>
          </w:p>
        </w:tc>
        <w:tc>
          <w:tcPr>
            <w:tcW w:w="1005" w:type="dxa"/>
          </w:tcPr>
          <w:p>
            <w:pPr>
              <w:spacing w:before="120" w:after="120" w:line="260" w:lineRule="auto"/>
              <w:jc w:val="center"/>
              <w:rPr>
                <w:bCs/>
              </w:rPr>
            </w:pPr>
            <w:r>
              <w:rPr>
                <w:rFonts w:hint="eastAsia"/>
                <w:bCs/>
              </w:rPr>
              <w:t>Baseline</w:t>
            </w:r>
          </w:p>
        </w:tc>
        <w:tc>
          <w:tcPr>
            <w:tcW w:w="1282" w:type="dxa"/>
          </w:tcPr>
          <w:p>
            <w:pPr>
              <w:spacing w:before="120" w:after="120" w:line="260" w:lineRule="auto"/>
              <w:jc w:val="center"/>
              <w:rPr>
                <w:bCs/>
              </w:rPr>
            </w:pPr>
            <w:r>
              <w:rPr>
                <w:rFonts w:hint="eastAsia"/>
                <w:bCs/>
              </w:rPr>
              <w:t>PDCCH skipping</w:t>
            </w:r>
          </w:p>
        </w:tc>
        <w:tc>
          <w:tcPr>
            <w:tcW w:w="1554" w:type="dxa"/>
          </w:tcPr>
          <w:p>
            <w:pPr>
              <w:spacing w:before="120" w:after="120" w:line="260" w:lineRule="auto"/>
              <w:jc w:val="center"/>
              <w:rPr>
                <w:bCs/>
              </w:rPr>
            </w:pPr>
            <w:r>
              <w:rPr>
                <w:rFonts w:hint="eastAsia"/>
                <w:bCs/>
              </w:rPr>
              <w:t>SSSG switching</w:t>
            </w:r>
          </w:p>
        </w:tc>
        <w:tc>
          <w:tcPr>
            <w:tcW w:w="1554" w:type="dxa"/>
          </w:tcPr>
          <w:p>
            <w:pPr>
              <w:spacing w:before="120" w:after="120" w:line="260" w:lineRule="auto"/>
              <w:jc w:val="center"/>
              <w:rPr>
                <w:bCs/>
              </w:rPr>
            </w:pPr>
            <w:r>
              <w:rPr>
                <w:rFonts w:hint="eastAsia"/>
                <w:bCs/>
              </w:rPr>
              <w:t>Config.1 for common design</w:t>
            </w:r>
          </w:p>
        </w:tc>
        <w:tc>
          <w:tcPr>
            <w:tcW w:w="1554" w:type="dxa"/>
          </w:tcPr>
          <w:p>
            <w:pPr>
              <w:spacing w:before="120" w:after="120" w:line="260" w:lineRule="auto"/>
              <w:jc w:val="center"/>
              <w:rPr>
                <w:bCs/>
              </w:rPr>
            </w:pPr>
            <w:r>
              <w:rPr>
                <w:rFonts w:hint="eastAsia"/>
                <w:bCs/>
              </w:rPr>
              <w:t>Config.2 for common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10" w:type="dxa"/>
          </w:tcPr>
          <w:p>
            <w:pPr>
              <w:spacing w:before="120" w:after="120" w:line="260" w:lineRule="auto"/>
              <w:jc w:val="center"/>
              <w:rPr>
                <w:bCs/>
              </w:rPr>
            </w:pPr>
            <w:r>
              <w:rPr>
                <w:rFonts w:hint="eastAsia"/>
                <w:bCs/>
              </w:rPr>
              <w:t xml:space="preserve">FTP </w:t>
            </w:r>
          </w:p>
        </w:tc>
        <w:tc>
          <w:tcPr>
            <w:tcW w:w="1005" w:type="dxa"/>
            <w:vAlign w:val="bottom"/>
          </w:tcPr>
          <w:p>
            <w:pPr>
              <w:spacing w:before="120" w:after="120" w:line="260" w:lineRule="auto"/>
              <w:jc w:val="center"/>
              <w:rPr>
                <w:bCs/>
              </w:rPr>
            </w:pPr>
            <w:r>
              <w:rPr>
                <w:rFonts w:hint="eastAsia"/>
                <w:bCs/>
              </w:rPr>
              <w:t>24.78</w:t>
            </w:r>
          </w:p>
        </w:tc>
        <w:tc>
          <w:tcPr>
            <w:tcW w:w="1282" w:type="dxa"/>
            <w:vAlign w:val="bottom"/>
          </w:tcPr>
          <w:p>
            <w:pPr>
              <w:spacing w:before="120" w:after="120" w:line="260" w:lineRule="auto"/>
              <w:jc w:val="center"/>
              <w:rPr>
                <w:bCs/>
              </w:rPr>
            </w:pPr>
            <w:r>
              <w:rPr>
                <w:rFonts w:hint="eastAsia"/>
                <w:bCs/>
              </w:rPr>
              <w:t>17.35</w:t>
            </w:r>
          </w:p>
        </w:tc>
        <w:tc>
          <w:tcPr>
            <w:tcW w:w="1554" w:type="dxa"/>
            <w:vAlign w:val="bottom"/>
          </w:tcPr>
          <w:p>
            <w:pPr>
              <w:spacing w:before="120" w:after="120" w:line="260" w:lineRule="auto"/>
              <w:jc w:val="center"/>
              <w:rPr>
                <w:bCs/>
              </w:rPr>
            </w:pPr>
            <w:r>
              <w:rPr>
                <w:rFonts w:hint="eastAsia"/>
                <w:bCs/>
              </w:rPr>
              <w:t>19.25</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18.73</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610" w:type="dxa"/>
          </w:tcPr>
          <w:p>
            <w:pPr>
              <w:spacing w:before="120" w:after="120" w:line="260" w:lineRule="auto"/>
              <w:jc w:val="center"/>
              <w:rPr>
                <w:bCs/>
              </w:rPr>
            </w:pPr>
            <w:r>
              <w:rPr>
                <w:rFonts w:hint="eastAsia"/>
                <w:bCs/>
              </w:rPr>
              <w:t>VoIP</w:t>
            </w:r>
          </w:p>
        </w:tc>
        <w:tc>
          <w:tcPr>
            <w:tcW w:w="1005" w:type="dxa"/>
            <w:vAlign w:val="bottom"/>
          </w:tcPr>
          <w:p>
            <w:pPr>
              <w:spacing w:before="120" w:after="120" w:line="260" w:lineRule="auto"/>
              <w:jc w:val="center"/>
              <w:rPr>
                <w:bCs/>
              </w:rPr>
            </w:pPr>
            <w:r>
              <w:rPr>
                <w:rFonts w:hint="eastAsia"/>
                <w:bCs/>
              </w:rPr>
              <w:t>37.55</w:t>
            </w:r>
          </w:p>
        </w:tc>
        <w:tc>
          <w:tcPr>
            <w:tcW w:w="1282" w:type="dxa"/>
            <w:vAlign w:val="bottom"/>
          </w:tcPr>
          <w:p>
            <w:pPr>
              <w:spacing w:before="120" w:after="120" w:line="260" w:lineRule="auto"/>
              <w:jc w:val="center"/>
              <w:rPr>
                <w:bCs/>
              </w:rPr>
            </w:pPr>
            <w:r>
              <w:rPr>
                <w:rFonts w:hint="eastAsia"/>
                <w:bCs/>
              </w:rPr>
              <w:t>24.11</w:t>
            </w:r>
          </w:p>
        </w:tc>
        <w:tc>
          <w:tcPr>
            <w:tcW w:w="1554" w:type="dxa"/>
            <w:vAlign w:val="bottom"/>
          </w:tcPr>
          <w:p>
            <w:pPr>
              <w:spacing w:before="120" w:after="120" w:line="260" w:lineRule="auto"/>
              <w:jc w:val="center"/>
              <w:rPr>
                <w:bCs/>
              </w:rPr>
            </w:pPr>
            <w:r>
              <w:rPr>
                <w:rFonts w:hint="eastAsia"/>
                <w:bCs/>
              </w:rPr>
              <w:t>28.14</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22.98</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610" w:type="dxa"/>
          </w:tcPr>
          <w:p>
            <w:pPr>
              <w:spacing w:before="120" w:after="120" w:line="260" w:lineRule="auto"/>
              <w:jc w:val="center"/>
              <w:rPr>
                <w:bCs/>
              </w:rPr>
            </w:pPr>
            <w:r>
              <w:rPr>
                <w:rFonts w:hint="eastAsia"/>
                <w:bCs/>
              </w:rPr>
              <w:t>Data-intensive traffic</w:t>
            </w:r>
          </w:p>
        </w:tc>
        <w:tc>
          <w:tcPr>
            <w:tcW w:w="1005" w:type="dxa"/>
            <w:vAlign w:val="bottom"/>
          </w:tcPr>
          <w:p>
            <w:pPr>
              <w:spacing w:before="120" w:after="120" w:line="260" w:lineRule="auto"/>
              <w:jc w:val="center"/>
              <w:rPr>
                <w:bCs/>
              </w:rPr>
            </w:pPr>
            <w:r>
              <w:rPr>
                <w:rFonts w:hint="eastAsia"/>
                <w:bCs/>
              </w:rPr>
              <w:t>38.43</w:t>
            </w:r>
          </w:p>
        </w:tc>
        <w:tc>
          <w:tcPr>
            <w:tcW w:w="1282" w:type="dxa"/>
            <w:vAlign w:val="bottom"/>
          </w:tcPr>
          <w:p>
            <w:pPr>
              <w:spacing w:before="120" w:after="120" w:line="260" w:lineRule="auto"/>
              <w:jc w:val="center"/>
              <w:rPr>
                <w:bCs/>
              </w:rPr>
            </w:pPr>
            <w:r>
              <w:rPr>
                <w:rFonts w:hint="eastAsia"/>
                <w:bCs/>
              </w:rPr>
              <w:t>25.30</w:t>
            </w:r>
          </w:p>
        </w:tc>
        <w:tc>
          <w:tcPr>
            <w:tcW w:w="1554" w:type="dxa"/>
            <w:vAlign w:val="bottom"/>
          </w:tcPr>
          <w:p>
            <w:pPr>
              <w:spacing w:before="120" w:after="120" w:line="260" w:lineRule="auto"/>
              <w:jc w:val="center"/>
              <w:rPr>
                <w:bCs/>
              </w:rPr>
            </w:pPr>
            <w:r>
              <w:rPr>
                <w:rFonts w:hint="eastAsia"/>
                <w:bCs/>
              </w:rPr>
              <w:t>29.56</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25.64</w:t>
            </w:r>
          </w:p>
        </w:tc>
        <w:tc>
          <w:tcPr>
            <w:tcW w:w="1554" w:type="dxa"/>
            <w:vAlign w:val="bottom"/>
          </w:tcPr>
          <w:p>
            <w:pPr>
              <w:spacing w:before="120" w:after="120" w:line="260" w:lineRule="auto"/>
              <w:jc w:val="center"/>
              <w:rPr>
                <w:bCs/>
                <w:kern w:val="0"/>
                <w:sz w:val="20"/>
                <w:lang w:bidi="ar"/>
              </w:rPr>
            </w:pPr>
            <w:r>
              <w:rPr>
                <w:rFonts w:hint="eastAsia"/>
                <w:bCs/>
                <w:kern w:val="0"/>
                <w:sz w:val="20"/>
                <w:lang w:bidi="ar"/>
              </w:rPr>
              <w:t>25.24</w:t>
            </w:r>
          </w:p>
        </w:tc>
      </w:tr>
    </w:tbl>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61B8EF"/>
    <w:multiLevelType w:val="singleLevel"/>
    <w:tmpl w:val="9761B8EF"/>
    <w:lvl w:ilvl="0" w:tentative="0">
      <w:start w:val="1"/>
      <w:numFmt w:val="lowerLetter"/>
      <w:lvlText w:val="%1."/>
      <w:lvlJc w:val="left"/>
      <w:pPr>
        <w:ind w:left="425" w:hanging="425"/>
      </w:pPr>
      <w:rPr>
        <w:rFonts w:hint="default"/>
        <w:b w:val="0"/>
        <w:bCs w:val="0"/>
      </w:rPr>
    </w:lvl>
  </w:abstractNum>
  <w:abstractNum w:abstractNumId="1">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2">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BD214175"/>
    <w:multiLevelType w:val="singleLevel"/>
    <w:tmpl w:val="BD214175"/>
    <w:lvl w:ilvl="0" w:tentative="0">
      <w:start w:val="1"/>
      <w:numFmt w:val="bullet"/>
      <w:lvlText w:val=""/>
      <w:lvlJc w:val="left"/>
      <w:pPr>
        <w:ind w:left="420" w:hanging="420"/>
      </w:pPr>
      <w:rPr>
        <w:rFonts w:hint="default" w:ascii="Wingdings" w:hAnsi="Wingdings"/>
      </w:rPr>
    </w:lvl>
  </w:abstractNum>
  <w:abstractNum w:abstractNumId="5">
    <w:nsid w:val="C3570D73"/>
    <w:multiLevelType w:val="singleLevel"/>
    <w:tmpl w:val="C3570D73"/>
    <w:lvl w:ilvl="0" w:tentative="0">
      <w:start w:val="1"/>
      <w:numFmt w:val="lowerLetter"/>
      <w:lvlText w:val="%1."/>
      <w:lvlJc w:val="left"/>
      <w:pPr>
        <w:ind w:left="425" w:hanging="425"/>
      </w:pPr>
      <w:rPr>
        <w:rFonts w:hint="default"/>
        <w:b w:val="0"/>
        <w:bCs w:val="0"/>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BF41F4A"/>
    <w:multiLevelType w:val="singleLevel"/>
    <w:tmpl w:val="2BF41F4A"/>
    <w:lvl w:ilvl="0" w:tentative="0">
      <w:start w:val="1"/>
      <w:numFmt w:val="bullet"/>
      <w:lvlText w:val=""/>
      <w:lvlJc w:val="left"/>
      <w:pPr>
        <w:ind w:left="420" w:hanging="420"/>
      </w:pPr>
      <w:rPr>
        <w:rFonts w:hint="default" w:ascii="Wingdings" w:hAnsi="Wingdings"/>
      </w:rPr>
    </w:lvl>
  </w:abstractNum>
  <w:abstractNum w:abstractNumId="9">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0">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1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6"/>
  </w:num>
  <w:num w:numId="2">
    <w:abstractNumId w:val="1"/>
  </w:num>
  <w:num w:numId="3">
    <w:abstractNumId w:val="3"/>
  </w:num>
  <w:num w:numId="4">
    <w:abstractNumId w:val="13"/>
  </w:num>
  <w:num w:numId="5">
    <w:abstractNumId w:val="2"/>
  </w:num>
  <w:num w:numId="6">
    <w:abstractNumId w:val="11"/>
  </w:num>
  <w:num w:numId="7">
    <w:abstractNumId w:val="9"/>
  </w:num>
  <w:num w:numId="8">
    <w:abstractNumId w:val="4"/>
  </w:num>
  <w:num w:numId="9">
    <w:abstractNumId w:val="8"/>
  </w:num>
  <w:num w:numId="10">
    <w:abstractNumId w:val="5"/>
  </w:num>
  <w:num w:numId="11">
    <w:abstractNumId w:val="0"/>
  </w:num>
  <w:num w:numId="12">
    <w:abstractNumId w:val="12"/>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3DC"/>
    <w:rsid w:val="00012E89"/>
    <w:rsid w:val="00013735"/>
    <w:rsid w:val="00015154"/>
    <w:rsid w:val="00015BFB"/>
    <w:rsid w:val="00015EDB"/>
    <w:rsid w:val="00026E93"/>
    <w:rsid w:val="00042E39"/>
    <w:rsid w:val="0004491B"/>
    <w:rsid w:val="0005277F"/>
    <w:rsid w:val="00053E53"/>
    <w:rsid w:val="00064D22"/>
    <w:rsid w:val="00080105"/>
    <w:rsid w:val="00086E99"/>
    <w:rsid w:val="0009751D"/>
    <w:rsid w:val="000A0061"/>
    <w:rsid w:val="000A2163"/>
    <w:rsid w:val="000A346B"/>
    <w:rsid w:val="000A6B3B"/>
    <w:rsid w:val="000B5454"/>
    <w:rsid w:val="000B63CC"/>
    <w:rsid w:val="000C4927"/>
    <w:rsid w:val="000C7C50"/>
    <w:rsid w:val="000D26FB"/>
    <w:rsid w:val="000E501F"/>
    <w:rsid w:val="000F65FF"/>
    <w:rsid w:val="000F72AD"/>
    <w:rsid w:val="001034DA"/>
    <w:rsid w:val="0010617D"/>
    <w:rsid w:val="001163CA"/>
    <w:rsid w:val="001452CB"/>
    <w:rsid w:val="001506E9"/>
    <w:rsid w:val="00166DD7"/>
    <w:rsid w:val="00170E4A"/>
    <w:rsid w:val="00172A27"/>
    <w:rsid w:val="0019443E"/>
    <w:rsid w:val="001B6A16"/>
    <w:rsid w:val="001C396E"/>
    <w:rsid w:val="001E68D2"/>
    <w:rsid w:val="00200427"/>
    <w:rsid w:val="002040EC"/>
    <w:rsid w:val="00204BEB"/>
    <w:rsid w:val="00205F77"/>
    <w:rsid w:val="002113E9"/>
    <w:rsid w:val="00217072"/>
    <w:rsid w:val="002217CD"/>
    <w:rsid w:val="002254E5"/>
    <w:rsid w:val="002349AB"/>
    <w:rsid w:val="00254F7B"/>
    <w:rsid w:val="00266EB2"/>
    <w:rsid w:val="0026734A"/>
    <w:rsid w:val="00272E7B"/>
    <w:rsid w:val="00282F6E"/>
    <w:rsid w:val="00291E13"/>
    <w:rsid w:val="00292BDC"/>
    <w:rsid w:val="002A1851"/>
    <w:rsid w:val="002A3F95"/>
    <w:rsid w:val="002B3F85"/>
    <w:rsid w:val="002B4EB7"/>
    <w:rsid w:val="002B532D"/>
    <w:rsid w:val="002E4C40"/>
    <w:rsid w:val="002E66E8"/>
    <w:rsid w:val="002F25AA"/>
    <w:rsid w:val="00303048"/>
    <w:rsid w:val="0033143E"/>
    <w:rsid w:val="00331B1C"/>
    <w:rsid w:val="00331EF2"/>
    <w:rsid w:val="00334743"/>
    <w:rsid w:val="00354570"/>
    <w:rsid w:val="00367434"/>
    <w:rsid w:val="00367EF9"/>
    <w:rsid w:val="00370C23"/>
    <w:rsid w:val="00371CBB"/>
    <w:rsid w:val="00375A07"/>
    <w:rsid w:val="003766C6"/>
    <w:rsid w:val="00377BC5"/>
    <w:rsid w:val="00380742"/>
    <w:rsid w:val="003937A6"/>
    <w:rsid w:val="00396ADB"/>
    <w:rsid w:val="003A103D"/>
    <w:rsid w:val="003A7E56"/>
    <w:rsid w:val="003B1149"/>
    <w:rsid w:val="003B217C"/>
    <w:rsid w:val="003C31D2"/>
    <w:rsid w:val="003D1DD7"/>
    <w:rsid w:val="003E38AE"/>
    <w:rsid w:val="003E4BBB"/>
    <w:rsid w:val="00421CD2"/>
    <w:rsid w:val="004265D0"/>
    <w:rsid w:val="004326F4"/>
    <w:rsid w:val="00441FB9"/>
    <w:rsid w:val="00452AB6"/>
    <w:rsid w:val="00453986"/>
    <w:rsid w:val="0045623B"/>
    <w:rsid w:val="00461AA7"/>
    <w:rsid w:val="0046721D"/>
    <w:rsid w:val="00476112"/>
    <w:rsid w:val="00477D6E"/>
    <w:rsid w:val="00496216"/>
    <w:rsid w:val="004A5821"/>
    <w:rsid w:val="004C0057"/>
    <w:rsid w:val="004C05FA"/>
    <w:rsid w:val="004C1151"/>
    <w:rsid w:val="004C7FE3"/>
    <w:rsid w:val="004F1990"/>
    <w:rsid w:val="004F342B"/>
    <w:rsid w:val="004F7324"/>
    <w:rsid w:val="00503141"/>
    <w:rsid w:val="00517339"/>
    <w:rsid w:val="005212D2"/>
    <w:rsid w:val="005228C9"/>
    <w:rsid w:val="00522A39"/>
    <w:rsid w:val="005420CA"/>
    <w:rsid w:val="005436CE"/>
    <w:rsid w:val="005439D4"/>
    <w:rsid w:val="00546231"/>
    <w:rsid w:val="005650A3"/>
    <w:rsid w:val="00566FDE"/>
    <w:rsid w:val="005802EF"/>
    <w:rsid w:val="005833B2"/>
    <w:rsid w:val="00583697"/>
    <w:rsid w:val="0058704C"/>
    <w:rsid w:val="00592F27"/>
    <w:rsid w:val="00597ADE"/>
    <w:rsid w:val="005A233A"/>
    <w:rsid w:val="005B065E"/>
    <w:rsid w:val="005C068A"/>
    <w:rsid w:val="005C7F61"/>
    <w:rsid w:val="005D14DB"/>
    <w:rsid w:val="005E6D49"/>
    <w:rsid w:val="005F1A12"/>
    <w:rsid w:val="005F3D0F"/>
    <w:rsid w:val="0062153B"/>
    <w:rsid w:val="0062167D"/>
    <w:rsid w:val="00633C6F"/>
    <w:rsid w:val="0063757E"/>
    <w:rsid w:val="006432A2"/>
    <w:rsid w:val="00643612"/>
    <w:rsid w:val="00645E5F"/>
    <w:rsid w:val="00647374"/>
    <w:rsid w:val="006517D3"/>
    <w:rsid w:val="00677C91"/>
    <w:rsid w:val="0068648D"/>
    <w:rsid w:val="00694163"/>
    <w:rsid w:val="006970AA"/>
    <w:rsid w:val="006A072C"/>
    <w:rsid w:val="006B10CB"/>
    <w:rsid w:val="006B63E2"/>
    <w:rsid w:val="006C415B"/>
    <w:rsid w:val="006C61BF"/>
    <w:rsid w:val="006D3CB8"/>
    <w:rsid w:val="006D42B1"/>
    <w:rsid w:val="006E69D1"/>
    <w:rsid w:val="006F0B4C"/>
    <w:rsid w:val="00711D48"/>
    <w:rsid w:val="00713810"/>
    <w:rsid w:val="007166E8"/>
    <w:rsid w:val="0074089D"/>
    <w:rsid w:val="007476DD"/>
    <w:rsid w:val="00781710"/>
    <w:rsid w:val="00795FC2"/>
    <w:rsid w:val="007A0C1E"/>
    <w:rsid w:val="007A24B9"/>
    <w:rsid w:val="007A5CFF"/>
    <w:rsid w:val="007B0734"/>
    <w:rsid w:val="007B379C"/>
    <w:rsid w:val="007C6A0A"/>
    <w:rsid w:val="007E53B8"/>
    <w:rsid w:val="007F5FF3"/>
    <w:rsid w:val="007F6B9D"/>
    <w:rsid w:val="008026B7"/>
    <w:rsid w:val="00812554"/>
    <w:rsid w:val="00817DE9"/>
    <w:rsid w:val="00830ED1"/>
    <w:rsid w:val="00847916"/>
    <w:rsid w:val="00847C97"/>
    <w:rsid w:val="00856229"/>
    <w:rsid w:val="00862777"/>
    <w:rsid w:val="008632D8"/>
    <w:rsid w:val="008650A2"/>
    <w:rsid w:val="0087435E"/>
    <w:rsid w:val="008776C3"/>
    <w:rsid w:val="00880E89"/>
    <w:rsid w:val="00894AD9"/>
    <w:rsid w:val="008A0205"/>
    <w:rsid w:val="008B7017"/>
    <w:rsid w:val="008B7CB0"/>
    <w:rsid w:val="008B7DB1"/>
    <w:rsid w:val="008C1A97"/>
    <w:rsid w:val="008C3050"/>
    <w:rsid w:val="008C329B"/>
    <w:rsid w:val="008C72D3"/>
    <w:rsid w:val="008D1D47"/>
    <w:rsid w:val="008D230F"/>
    <w:rsid w:val="008D38A0"/>
    <w:rsid w:val="008D4CC1"/>
    <w:rsid w:val="008D54B2"/>
    <w:rsid w:val="008E0B96"/>
    <w:rsid w:val="008E15E2"/>
    <w:rsid w:val="008E587D"/>
    <w:rsid w:val="008E617E"/>
    <w:rsid w:val="008F11DE"/>
    <w:rsid w:val="0090147B"/>
    <w:rsid w:val="00902230"/>
    <w:rsid w:val="00930332"/>
    <w:rsid w:val="00931643"/>
    <w:rsid w:val="00953CDE"/>
    <w:rsid w:val="009578F7"/>
    <w:rsid w:val="0096044C"/>
    <w:rsid w:val="00992CAA"/>
    <w:rsid w:val="0099436F"/>
    <w:rsid w:val="009944AA"/>
    <w:rsid w:val="009D1C4D"/>
    <w:rsid w:val="009D1E4F"/>
    <w:rsid w:val="009E2616"/>
    <w:rsid w:val="009E3CEF"/>
    <w:rsid w:val="00A027EF"/>
    <w:rsid w:val="00A02943"/>
    <w:rsid w:val="00A06031"/>
    <w:rsid w:val="00A12F88"/>
    <w:rsid w:val="00A14FF2"/>
    <w:rsid w:val="00A15E2F"/>
    <w:rsid w:val="00A4166A"/>
    <w:rsid w:val="00A46CC4"/>
    <w:rsid w:val="00A4786D"/>
    <w:rsid w:val="00A57F9E"/>
    <w:rsid w:val="00A70A28"/>
    <w:rsid w:val="00A878AE"/>
    <w:rsid w:val="00A92636"/>
    <w:rsid w:val="00A941B0"/>
    <w:rsid w:val="00AA6E04"/>
    <w:rsid w:val="00AD4752"/>
    <w:rsid w:val="00AE5669"/>
    <w:rsid w:val="00AF7C15"/>
    <w:rsid w:val="00B60EDF"/>
    <w:rsid w:val="00B66332"/>
    <w:rsid w:val="00B81A6F"/>
    <w:rsid w:val="00B84C23"/>
    <w:rsid w:val="00B85674"/>
    <w:rsid w:val="00B9484C"/>
    <w:rsid w:val="00BA4952"/>
    <w:rsid w:val="00BA715F"/>
    <w:rsid w:val="00BC22AE"/>
    <w:rsid w:val="00BD47B2"/>
    <w:rsid w:val="00BD52A6"/>
    <w:rsid w:val="00BD6309"/>
    <w:rsid w:val="00BE5EFB"/>
    <w:rsid w:val="00BE641D"/>
    <w:rsid w:val="00BF08AC"/>
    <w:rsid w:val="00BF1E7C"/>
    <w:rsid w:val="00BF4B0E"/>
    <w:rsid w:val="00C039ED"/>
    <w:rsid w:val="00C134B6"/>
    <w:rsid w:val="00C137DB"/>
    <w:rsid w:val="00C166BC"/>
    <w:rsid w:val="00C239A8"/>
    <w:rsid w:val="00C27740"/>
    <w:rsid w:val="00C37341"/>
    <w:rsid w:val="00C406CC"/>
    <w:rsid w:val="00C56E6B"/>
    <w:rsid w:val="00C637DC"/>
    <w:rsid w:val="00C774C8"/>
    <w:rsid w:val="00CA1DBD"/>
    <w:rsid w:val="00CA6701"/>
    <w:rsid w:val="00CB2B6E"/>
    <w:rsid w:val="00CB7131"/>
    <w:rsid w:val="00CC4532"/>
    <w:rsid w:val="00CD3761"/>
    <w:rsid w:val="00CE1AD7"/>
    <w:rsid w:val="00D01D40"/>
    <w:rsid w:val="00D07944"/>
    <w:rsid w:val="00D20A97"/>
    <w:rsid w:val="00D23CE0"/>
    <w:rsid w:val="00D26B1F"/>
    <w:rsid w:val="00D34BD5"/>
    <w:rsid w:val="00D40D43"/>
    <w:rsid w:val="00D50681"/>
    <w:rsid w:val="00D50800"/>
    <w:rsid w:val="00D5574F"/>
    <w:rsid w:val="00D62C07"/>
    <w:rsid w:val="00D70ECB"/>
    <w:rsid w:val="00D85AC8"/>
    <w:rsid w:val="00D96EA4"/>
    <w:rsid w:val="00DA5F51"/>
    <w:rsid w:val="00DB0ACF"/>
    <w:rsid w:val="00DB6BD7"/>
    <w:rsid w:val="00DC0F8B"/>
    <w:rsid w:val="00DD4B55"/>
    <w:rsid w:val="00DE5D6D"/>
    <w:rsid w:val="00E06B21"/>
    <w:rsid w:val="00E2140B"/>
    <w:rsid w:val="00E31E1F"/>
    <w:rsid w:val="00E40E07"/>
    <w:rsid w:val="00E56DD3"/>
    <w:rsid w:val="00E61B28"/>
    <w:rsid w:val="00E62A3D"/>
    <w:rsid w:val="00E67314"/>
    <w:rsid w:val="00E74022"/>
    <w:rsid w:val="00E77887"/>
    <w:rsid w:val="00E85B8C"/>
    <w:rsid w:val="00E903BA"/>
    <w:rsid w:val="00EA4E8D"/>
    <w:rsid w:val="00EA62E5"/>
    <w:rsid w:val="00EA76D3"/>
    <w:rsid w:val="00EB3ED9"/>
    <w:rsid w:val="00EC0827"/>
    <w:rsid w:val="00EE7C7C"/>
    <w:rsid w:val="00EF6E23"/>
    <w:rsid w:val="00F01154"/>
    <w:rsid w:val="00F4095D"/>
    <w:rsid w:val="00F40E52"/>
    <w:rsid w:val="00F60223"/>
    <w:rsid w:val="00F765F4"/>
    <w:rsid w:val="00F958CC"/>
    <w:rsid w:val="00F97C0B"/>
    <w:rsid w:val="00FA3BED"/>
    <w:rsid w:val="00FA552B"/>
    <w:rsid w:val="00FA62E6"/>
    <w:rsid w:val="00FB5ABE"/>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B66FEF"/>
    <w:rsid w:val="03073BDC"/>
    <w:rsid w:val="032134E9"/>
    <w:rsid w:val="033F44DC"/>
    <w:rsid w:val="037B5FB5"/>
    <w:rsid w:val="03915DEB"/>
    <w:rsid w:val="03985ACE"/>
    <w:rsid w:val="03D4716A"/>
    <w:rsid w:val="04130FE4"/>
    <w:rsid w:val="042900C9"/>
    <w:rsid w:val="04860DC7"/>
    <w:rsid w:val="04A45057"/>
    <w:rsid w:val="04EE0CCB"/>
    <w:rsid w:val="05010D84"/>
    <w:rsid w:val="052B79E3"/>
    <w:rsid w:val="05301D9F"/>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7E06E6D"/>
    <w:rsid w:val="07EA2457"/>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32D80"/>
    <w:rsid w:val="09BE4947"/>
    <w:rsid w:val="09F67CD5"/>
    <w:rsid w:val="0A1739BB"/>
    <w:rsid w:val="0A7B50B4"/>
    <w:rsid w:val="0A8A3FFF"/>
    <w:rsid w:val="0B3D5147"/>
    <w:rsid w:val="0B6B20A7"/>
    <w:rsid w:val="0B9E71DF"/>
    <w:rsid w:val="0BB427D1"/>
    <w:rsid w:val="0BCD5C26"/>
    <w:rsid w:val="0BF10670"/>
    <w:rsid w:val="0BF711B3"/>
    <w:rsid w:val="0C26616A"/>
    <w:rsid w:val="0C6F272A"/>
    <w:rsid w:val="0C9036C8"/>
    <w:rsid w:val="0C921354"/>
    <w:rsid w:val="0C9D30C2"/>
    <w:rsid w:val="0CA126F2"/>
    <w:rsid w:val="0CBC30ED"/>
    <w:rsid w:val="0CEA509E"/>
    <w:rsid w:val="0D2F3891"/>
    <w:rsid w:val="0D426E1A"/>
    <w:rsid w:val="0D9D65F4"/>
    <w:rsid w:val="0DEE7CA5"/>
    <w:rsid w:val="0E005225"/>
    <w:rsid w:val="0E172BD0"/>
    <w:rsid w:val="0E347579"/>
    <w:rsid w:val="0E6A1ECE"/>
    <w:rsid w:val="0E727239"/>
    <w:rsid w:val="0E8F0168"/>
    <w:rsid w:val="0E9B4F32"/>
    <w:rsid w:val="0EC34966"/>
    <w:rsid w:val="0F0B4FFE"/>
    <w:rsid w:val="0F123F4C"/>
    <w:rsid w:val="0F1E67DB"/>
    <w:rsid w:val="0F9861DB"/>
    <w:rsid w:val="0FA67E91"/>
    <w:rsid w:val="0FD80B60"/>
    <w:rsid w:val="0FDB5B48"/>
    <w:rsid w:val="100D6816"/>
    <w:rsid w:val="10523322"/>
    <w:rsid w:val="10860503"/>
    <w:rsid w:val="10A50104"/>
    <w:rsid w:val="10A85FA8"/>
    <w:rsid w:val="10B658BE"/>
    <w:rsid w:val="10BA5ACA"/>
    <w:rsid w:val="10C92880"/>
    <w:rsid w:val="10FA22E3"/>
    <w:rsid w:val="113B07A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7959EC"/>
    <w:rsid w:val="13834312"/>
    <w:rsid w:val="139D335C"/>
    <w:rsid w:val="13A1683F"/>
    <w:rsid w:val="13C2790D"/>
    <w:rsid w:val="14110FA8"/>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6018AD"/>
    <w:rsid w:val="196E5824"/>
    <w:rsid w:val="19AF5AFD"/>
    <w:rsid w:val="19BF7943"/>
    <w:rsid w:val="19EE4EC9"/>
    <w:rsid w:val="1A054259"/>
    <w:rsid w:val="1A097942"/>
    <w:rsid w:val="1ACB6909"/>
    <w:rsid w:val="1B2B6940"/>
    <w:rsid w:val="1B5838BD"/>
    <w:rsid w:val="1B5F69A7"/>
    <w:rsid w:val="1B7F6005"/>
    <w:rsid w:val="1BA05608"/>
    <w:rsid w:val="1BAF4E35"/>
    <w:rsid w:val="1BAF6DD1"/>
    <w:rsid w:val="1BE82D8F"/>
    <w:rsid w:val="1C0F5C4A"/>
    <w:rsid w:val="1C132CB9"/>
    <w:rsid w:val="1C177FB2"/>
    <w:rsid w:val="1C346C57"/>
    <w:rsid w:val="1CAA2901"/>
    <w:rsid w:val="1CB92F89"/>
    <w:rsid w:val="1CCC26CA"/>
    <w:rsid w:val="1D133E21"/>
    <w:rsid w:val="1D3A10D4"/>
    <w:rsid w:val="1D53497D"/>
    <w:rsid w:val="1D6041FB"/>
    <w:rsid w:val="1D61520F"/>
    <w:rsid w:val="1D786BCA"/>
    <w:rsid w:val="1D805936"/>
    <w:rsid w:val="1DA83A0D"/>
    <w:rsid w:val="1DDF2ACE"/>
    <w:rsid w:val="1E5D3C53"/>
    <w:rsid w:val="1E6D25EE"/>
    <w:rsid w:val="1E94181D"/>
    <w:rsid w:val="1E9D6342"/>
    <w:rsid w:val="1EBF09C1"/>
    <w:rsid w:val="1ECD4B11"/>
    <w:rsid w:val="1ED879BC"/>
    <w:rsid w:val="1EED420F"/>
    <w:rsid w:val="1EF17B6F"/>
    <w:rsid w:val="1F303978"/>
    <w:rsid w:val="1F6170A9"/>
    <w:rsid w:val="1F6200DE"/>
    <w:rsid w:val="1F652C38"/>
    <w:rsid w:val="1F9C5BBE"/>
    <w:rsid w:val="1FE14460"/>
    <w:rsid w:val="20200CA4"/>
    <w:rsid w:val="203063E1"/>
    <w:rsid w:val="204E6676"/>
    <w:rsid w:val="205C6F65"/>
    <w:rsid w:val="205F334B"/>
    <w:rsid w:val="20834B1A"/>
    <w:rsid w:val="20AA7DFE"/>
    <w:rsid w:val="20CB576A"/>
    <w:rsid w:val="20D06E12"/>
    <w:rsid w:val="20DC4C14"/>
    <w:rsid w:val="20F33E96"/>
    <w:rsid w:val="210634E6"/>
    <w:rsid w:val="21241A3D"/>
    <w:rsid w:val="212440E3"/>
    <w:rsid w:val="215416B9"/>
    <w:rsid w:val="21822343"/>
    <w:rsid w:val="2194141D"/>
    <w:rsid w:val="2195668B"/>
    <w:rsid w:val="21A2535F"/>
    <w:rsid w:val="21A9601A"/>
    <w:rsid w:val="21AC0BE7"/>
    <w:rsid w:val="21BE044A"/>
    <w:rsid w:val="21BE5AD4"/>
    <w:rsid w:val="21CA2BAC"/>
    <w:rsid w:val="224E2FB0"/>
    <w:rsid w:val="22720857"/>
    <w:rsid w:val="22C84A78"/>
    <w:rsid w:val="23081A49"/>
    <w:rsid w:val="23696DA2"/>
    <w:rsid w:val="23A82A04"/>
    <w:rsid w:val="23B54B12"/>
    <w:rsid w:val="23C52CE6"/>
    <w:rsid w:val="23D11AFC"/>
    <w:rsid w:val="24210188"/>
    <w:rsid w:val="243066C8"/>
    <w:rsid w:val="24452B40"/>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164A92"/>
    <w:rsid w:val="274120CE"/>
    <w:rsid w:val="27593DCB"/>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45677B"/>
    <w:rsid w:val="296A164B"/>
    <w:rsid w:val="299711A3"/>
    <w:rsid w:val="29FA7F26"/>
    <w:rsid w:val="2A0F0262"/>
    <w:rsid w:val="2A11490E"/>
    <w:rsid w:val="2A24123C"/>
    <w:rsid w:val="2A2B07D5"/>
    <w:rsid w:val="2A62300C"/>
    <w:rsid w:val="2A7903F8"/>
    <w:rsid w:val="2A9E41A6"/>
    <w:rsid w:val="2AB62FA0"/>
    <w:rsid w:val="2AD176E8"/>
    <w:rsid w:val="2B0F311A"/>
    <w:rsid w:val="2B4440F9"/>
    <w:rsid w:val="2B774832"/>
    <w:rsid w:val="2BC93350"/>
    <w:rsid w:val="2BCA1C44"/>
    <w:rsid w:val="2BE1364E"/>
    <w:rsid w:val="2C0A1E9D"/>
    <w:rsid w:val="2C4101B0"/>
    <w:rsid w:val="2C4735A9"/>
    <w:rsid w:val="2C5312D1"/>
    <w:rsid w:val="2C9B39D4"/>
    <w:rsid w:val="2CA1029C"/>
    <w:rsid w:val="2CDB2A32"/>
    <w:rsid w:val="2CE74D9A"/>
    <w:rsid w:val="2CE94FBB"/>
    <w:rsid w:val="2D036243"/>
    <w:rsid w:val="2D11052F"/>
    <w:rsid w:val="2D2713FE"/>
    <w:rsid w:val="2D644464"/>
    <w:rsid w:val="2D86318A"/>
    <w:rsid w:val="2DAA1531"/>
    <w:rsid w:val="2DD31482"/>
    <w:rsid w:val="2DED4837"/>
    <w:rsid w:val="2DF81D7C"/>
    <w:rsid w:val="2DFC12C6"/>
    <w:rsid w:val="2E592BD6"/>
    <w:rsid w:val="2E9F709C"/>
    <w:rsid w:val="2ED53BA8"/>
    <w:rsid w:val="2EED0A13"/>
    <w:rsid w:val="2EF576F7"/>
    <w:rsid w:val="2F031089"/>
    <w:rsid w:val="2F1251F2"/>
    <w:rsid w:val="2F2C0DF2"/>
    <w:rsid w:val="2F65609A"/>
    <w:rsid w:val="2FAE7CFE"/>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14373A"/>
    <w:rsid w:val="32586AD3"/>
    <w:rsid w:val="327F30CF"/>
    <w:rsid w:val="329A6ACE"/>
    <w:rsid w:val="32AB75FA"/>
    <w:rsid w:val="32C64BD3"/>
    <w:rsid w:val="334F3544"/>
    <w:rsid w:val="33834A37"/>
    <w:rsid w:val="33A253D1"/>
    <w:rsid w:val="33FF73F9"/>
    <w:rsid w:val="34371266"/>
    <w:rsid w:val="345B1306"/>
    <w:rsid w:val="348D3D32"/>
    <w:rsid w:val="34CB6483"/>
    <w:rsid w:val="34EC39C4"/>
    <w:rsid w:val="3505548D"/>
    <w:rsid w:val="35191B59"/>
    <w:rsid w:val="35997ED3"/>
    <w:rsid w:val="35B0594E"/>
    <w:rsid w:val="35B344D1"/>
    <w:rsid w:val="35C47CF3"/>
    <w:rsid w:val="35D5780F"/>
    <w:rsid w:val="360673D5"/>
    <w:rsid w:val="360B1D73"/>
    <w:rsid w:val="360B7EE7"/>
    <w:rsid w:val="361F3323"/>
    <w:rsid w:val="364A298F"/>
    <w:rsid w:val="364A7B2B"/>
    <w:rsid w:val="3659312E"/>
    <w:rsid w:val="3681117A"/>
    <w:rsid w:val="36854C1B"/>
    <w:rsid w:val="36E93760"/>
    <w:rsid w:val="371A2021"/>
    <w:rsid w:val="37212DC5"/>
    <w:rsid w:val="3784394E"/>
    <w:rsid w:val="379B41C4"/>
    <w:rsid w:val="37F25734"/>
    <w:rsid w:val="380A0B96"/>
    <w:rsid w:val="38337F5B"/>
    <w:rsid w:val="385135F5"/>
    <w:rsid w:val="385F665C"/>
    <w:rsid w:val="388E6551"/>
    <w:rsid w:val="38AE3BB0"/>
    <w:rsid w:val="38D739DA"/>
    <w:rsid w:val="38DC5505"/>
    <w:rsid w:val="391F7D60"/>
    <w:rsid w:val="392C1BF2"/>
    <w:rsid w:val="392E58B6"/>
    <w:rsid w:val="393C332E"/>
    <w:rsid w:val="39496AE3"/>
    <w:rsid w:val="3985660B"/>
    <w:rsid w:val="39BB13DA"/>
    <w:rsid w:val="39DB06B3"/>
    <w:rsid w:val="3A127976"/>
    <w:rsid w:val="3A1704BF"/>
    <w:rsid w:val="3A7E5091"/>
    <w:rsid w:val="3AC2467B"/>
    <w:rsid w:val="3AC253ED"/>
    <w:rsid w:val="3ACB5746"/>
    <w:rsid w:val="3AD258E7"/>
    <w:rsid w:val="3AE826D9"/>
    <w:rsid w:val="3B047F30"/>
    <w:rsid w:val="3B3664CC"/>
    <w:rsid w:val="3B673648"/>
    <w:rsid w:val="3B9F5CB3"/>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DF77E46"/>
    <w:rsid w:val="3E39525D"/>
    <w:rsid w:val="3E441C7D"/>
    <w:rsid w:val="3E7F0554"/>
    <w:rsid w:val="3ECB2614"/>
    <w:rsid w:val="3F104E7C"/>
    <w:rsid w:val="3F1E19C9"/>
    <w:rsid w:val="3F7009A7"/>
    <w:rsid w:val="3F8D2B60"/>
    <w:rsid w:val="3FC956FF"/>
    <w:rsid w:val="400131B8"/>
    <w:rsid w:val="40151C98"/>
    <w:rsid w:val="402B196F"/>
    <w:rsid w:val="40375763"/>
    <w:rsid w:val="404C2A57"/>
    <w:rsid w:val="405333D7"/>
    <w:rsid w:val="406B12D1"/>
    <w:rsid w:val="40903A47"/>
    <w:rsid w:val="409C0D37"/>
    <w:rsid w:val="40A36A71"/>
    <w:rsid w:val="40CB3E39"/>
    <w:rsid w:val="40D07704"/>
    <w:rsid w:val="40EA5ADE"/>
    <w:rsid w:val="410E4736"/>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534E6C"/>
    <w:rsid w:val="43625625"/>
    <w:rsid w:val="43B97E64"/>
    <w:rsid w:val="43D54F80"/>
    <w:rsid w:val="44096344"/>
    <w:rsid w:val="440D5045"/>
    <w:rsid w:val="4466378D"/>
    <w:rsid w:val="44F5724A"/>
    <w:rsid w:val="454B31E9"/>
    <w:rsid w:val="4555581D"/>
    <w:rsid w:val="457602B0"/>
    <w:rsid w:val="45BE6191"/>
    <w:rsid w:val="45BF679F"/>
    <w:rsid w:val="45FE24FC"/>
    <w:rsid w:val="460C5979"/>
    <w:rsid w:val="46AC250E"/>
    <w:rsid w:val="46C56CAD"/>
    <w:rsid w:val="46D45048"/>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C600E6"/>
    <w:rsid w:val="48D321B5"/>
    <w:rsid w:val="48DC6BCF"/>
    <w:rsid w:val="49701211"/>
    <w:rsid w:val="49E9233D"/>
    <w:rsid w:val="4A221D6C"/>
    <w:rsid w:val="4A2324A9"/>
    <w:rsid w:val="4A2C54FD"/>
    <w:rsid w:val="4A3703C6"/>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E62FB"/>
    <w:rsid w:val="4C247E4A"/>
    <w:rsid w:val="4C496DB3"/>
    <w:rsid w:val="4C4A6CD0"/>
    <w:rsid w:val="4C8E2AE9"/>
    <w:rsid w:val="4D2455C6"/>
    <w:rsid w:val="4D462159"/>
    <w:rsid w:val="4D553300"/>
    <w:rsid w:val="4D5C5FAC"/>
    <w:rsid w:val="4D7D6E2D"/>
    <w:rsid w:val="4DA00E6E"/>
    <w:rsid w:val="4DC605B6"/>
    <w:rsid w:val="4DCC2E38"/>
    <w:rsid w:val="4DEC0985"/>
    <w:rsid w:val="4DFB4F20"/>
    <w:rsid w:val="4E27683A"/>
    <w:rsid w:val="4EC74CC4"/>
    <w:rsid w:val="4EDB34FF"/>
    <w:rsid w:val="4EF32FFF"/>
    <w:rsid w:val="4F232A9C"/>
    <w:rsid w:val="4F2765B1"/>
    <w:rsid w:val="4F285975"/>
    <w:rsid w:val="4F5E2A8B"/>
    <w:rsid w:val="4F800800"/>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492294"/>
    <w:rsid w:val="538F551C"/>
    <w:rsid w:val="539A390F"/>
    <w:rsid w:val="53DB3477"/>
    <w:rsid w:val="54181AF3"/>
    <w:rsid w:val="54AF6B42"/>
    <w:rsid w:val="54B205EE"/>
    <w:rsid w:val="54C140CB"/>
    <w:rsid w:val="54E218CB"/>
    <w:rsid w:val="54E44BF8"/>
    <w:rsid w:val="54E80108"/>
    <w:rsid w:val="54FC325C"/>
    <w:rsid w:val="55050D67"/>
    <w:rsid w:val="5510241A"/>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9F3CDA"/>
    <w:rsid w:val="57B06157"/>
    <w:rsid w:val="57D503EA"/>
    <w:rsid w:val="57FC07D9"/>
    <w:rsid w:val="58500F22"/>
    <w:rsid w:val="58581669"/>
    <w:rsid w:val="58B82BCC"/>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EA73B8"/>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A53FE"/>
    <w:rsid w:val="607C3753"/>
    <w:rsid w:val="609578A8"/>
    <w:rsid w:val="60C30855"/>
    <w:rsid w:val="60CC7FFA"/>
    <w:rsid w:val="60DE7ADD"/>
    <w:rsid w:val="610B17E6"/>
    <w:rsid w:val="61421EFD"/>
    <w:rsid w:val="615C2588"/>
    <w:rsid w:val="615C5041"/>
    <w:rsid w:val="61800D98"/>
    <w:rsid w:val="61D705BD"/>
    <w:rsid w:val="61DD59E8"/>
    <w:rsid w:val="61E56B7B"/>
    <w:rsid w:val="62420984"/>
    <w:rsid w:val="626C4E5F"/>
    <w:rsid w:val="6271154E"/>
    <w:rsid w:val="627D0863"/>
    <w:rsid w:val="62B70B91"/>
    <w:rsid w:val="62CE390F"/>
    <w:rsid w:val="63206216"/>
    <w:rsid w:val="634B3A82"/>
    <w:rsid w:val="63523344"/>
    <w:rsid w:val="63560707"/>
    <w:rsid w:val="6357067F"/>
    <w:rsid w:val="636824F0"/>
    <w:rsid w:val="63A167BF"/>
    <w:rsid w:val="63A22B6A"/>
    <w:rsid w:val="63D03DEE"/>
    <w:rsid w:val="63DD6E9C"/>
    <w:rsid w:val="641A2384"/>
    <w:rsid w:val="642167EE"/>
    <w:rsid w:val="64CB6601"/>
    <w:rsid w:val="64D008CC"/>
    <w:rsid w:val="64EF3666"/>
    <w:rsid w:val="64FC1880"/>
    <w:rsid w:val="65094EFF"/>
    <w:rsid w:val="651B3798"/>
    <w:rsid w:val="65370CD5"/>
    <w:rsid w:val="65847BBF"/>
    <w:rsid w:val="659C0FAD"/>
    <w:rsid w:val="65B57404"/>
    <w:rsid w:val="65B93A8D"/>
    <w:rsid w:val="65CA1E2C"/>
    <w:rsid w:val="65D975AE"/>
    <w:rsid w:val="661746DD"/>
    <w:rsid w:val="664805B8"/>
    <w:rsid w:val="665E34DC"/>
    <w:rsid w:val="66AC7554"/>
    <w:rsid w:val="66C053F3"/>
    <w:rsid w:val="66CD03F2"/>
    <w:rsid w:val="66CD7C88"/>
    <w:rsid w:val="66D221EE"/>
    <w:rsid w:val="66DA55D7"/>
    <w:rsid w:val="66F82180"/>
    <w:rsid w:val="670F41E0"/>
    <w:rsid w:val="677D25E8"/>
    <w:rsid w:val="678A787F"/>
    <w:rsid w:val="67AD6B3A"/>
    <w:rsid w:val="67BD0300"/>
    <w:rsid w:val="67D325C4"/>
    <w:rsid w:val="68031C5B"/>
    <w:rsid w:val="682616B3"/>
    <w:rsid w:val="682A4EAB"/>
    <w:rsid w:val="68316174"/>
    <w:rsid w:val="684D34F9"/>
    <w:rsid w:val="68D74BD0"/>
    <w:rsid w:val="68F533A3"/>
    <w:rsid w:val="690453B7"/>
    <w:rsid w:val="690B53E9"/>
    <w:rsid w:val="690F418B"/>
    <w:rsid w:val="699323D6"/>
    <w:rsid w:val="69B32313"/>
    <w:rsid w:val="6A007B68"/>
    <w:rsid w:val="6A0409C8"/>
    <w:rsid w:val="6A222ABB"/>
    <w:rsid w:val="6A227D01"/>
    <w:rsid w:val="6A35759D"/>
    <w:rsid w:val="6A700D2B"/>
    <w:rsid w:val="6A741183"/>
    <w:rsid w:val="6A7A2736"/>
    <w:rsid w:val="6A7B4B9C"/>
    <w:rsid w:val="6AA651A8"/>
    <w:rsid w:val="6AEB121D"/>
    <w:rsid w:val="6AFB78C4"/>
    <w:rsid w:val="6B004CFA"/>
    <w:rsid w:val="6B120A68"/>
    <w:rsid w:val="6B586E1F"/>
    <w:rsid w:val="6BAF5652"/>
    <w:rsid w:val="6C6F4FDA"/>
    <w:rsid w:val="6C89456C"/>
    <w:rsid w:val="6C8F5003"/>
    <w:rsid w:val="6CA35C83"/>
    <w:rsid w:val="6CA52710"/>
    <w:rsid w:val="6CAC58B4"/>
    <w:rsid w:val="6CF2121C"/>
    <w:rsid w:val="6D275EAB"/>
    <w:rsid w:val="6D362B4E"/>
    <w:rsid w:val="6D4A2539"/>
    <w:rsid w:val="6D572C9F"/>
    <w:rsid w:val="6D8352A0"/>
    <w:rsid w:val="6D97094D"/>
    <w:rsid w:val="6DAE632B"/>
    <w:rsid w:val="6DF009F6"/>
    <w:rsid w:val="6E217EA6"/>
    <w:rsid w:val="6E2666BC"/>
    <w:rsid w:val="6E2F175D"/>
    <w:rsid w:val="6E3B7611"/>
    <w:rsid w:val="6E605E8D"/>
    <w:rsid w:val="6E8959F5"/>
    <w:rsid w:val="6EBC6999"/>
    <w:rsid w:val="6EC062B0"/>
    <w:rsid w:val="6EDF5FC3"/>
    <w:rsid w:val="6EF90D33"/>
    <w:rsid w:val="6F3F60AD"/>
    <w:rsid w:val="6F7405D9"/>
    <w:rsid w:val="6F7A5D4F"/>
    <w:rsid w:val="6F901B66"/>
    <w:rsid w:val="6FA629D4"/>
    <w:rsid w:val="6FA70F58"/>
    <w:rsid w:val="6FD10552"/>
    <w:rsid w:val="70014D67"/>
    <w:rsid w:val="70117B8A"/>
    <w:rsid w:val="70360B36"/>
    <w:rsid w:val="703B3228"/>
    <w:rsid w:val="704F39D7"/>
    <w:rsid w:val="709E0125"/>
    <w:rsid w:val="70BB2EF0"/>
    <w:rsid w:val="70CC6A1F"/>
    <w:rsid w:val="70CE0A84"/>
    <w:rsid w:val="70E10DC3"/>
    <w:rsid w:val="70F054AD"/>
    <w:rsid w:val="71095983"/>
    <w:rsid w:val="71096BD2"/>
    <w:rsid w:val="712D59A6"/>
    <w:rsid w:val="71402F8B"/>
    <w:rsid w:val="71475ADB"/>
    <w:rsid w:val="717140CF"/>
    <w:rsid w:val="718F10F7"/>
    <w:rsid w:val="71A751AA"/>
    <w:rsid w:val="71D55C91"/>
    <w:rsid w:val="71DE13EC"/>
    <w:rsid w:val="722B37CD"/>
    <w:rsid w:val="72305A9A"/>
    <w:rsid w:val="72427DB1"/>
    <w:rsid w:val="726B260D"/>
    <w:rsid w:val="73287A23"/>
    <w:rsid w:val="7331324E"/>
    <w:rsid w:val="733946CF"/>
    <w:rsid w:val="73455C21"/>
    <w:rsid w:val="73710635"/>
    <w:rsid w:val="73D425F7"/>
    <w:rsid w:val="73D6575A"/>
    <w:rsid w:val="73E2217A"/>
    <w:rsid w:val="73E636C1"/>
    <w:rsid w:val="74600E53"/>
    <w:rsid w:val="746A0CB1"/>
    <w:rsid w:val="74712AFB"/>
    <w:rsid w:val="74A31B48"/>
    <w:rsid w:val="74AE4111"/>
    <w:rsid w:val="74BC1C78"/>
    <w:rsid w:val="75035869"/>
    <w:rsid w:val="750A2023"/>
    <w:rsid w:val="75171C24"/>
    <w:rsid w:val="75486E94"/>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617342"/>
    <w:rsid w:val="77890DAA"/>
    <w:rsid w:val="77D835AD"/>
    <w:rsid w:val="77EE2F48"/>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AB212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119C8"/>
    <w:rsid w:val="7DB3208B"/>
    <w:rsid w:val="7DB5193A"/>
    <w:rsid w:val="7DB54254"/>
    <w:rsid w:val="7DD57D75"/>
    <w:rsid w:val="7E181D7D"/>
    <w:rsid w:val="7E3E1EF2"/>
    <w:rsid w:val="7E4B337A"/>
    <w:rsid w:val="7E5E744E"/>
    <w:rsid w:val="7E737EB8"/>
    <w:rsid w:val="7E951513"/>
    <w:rsid w:val="7EA96AC5"/>
    <w:rsid w:val="7EB06086"/>
    <w:rsid w:val="7EC118B4"/>
    <w:rsid w:val="7EC83404"/>
    <w:rsid w:val="7ED01B68"/>
    <w:rsid w:val="7ED60A44"/>
    <w:rsid w:val="7EF74FC9"/>
    <w:rsid w:val="7F3745CA"/>
    <w:rsid w:val="7F5A59DA"/>
    <w:rsid w:val="7F653669"/>
    <w:rsid w:val="7F750737"/>
    <w:rsid w:val="7F846976"/>
    <w:rsid w:val="7FA01201"/>
    <w:rsid w:val="7FB901DB"/>
    <w:rsid w:val="7FBB72CB"/>
    <w:rsid w:val="7FC66F29"/>
    <w:rsid w:val="7FE11C49"/>
    <w:rsid w:val="7FFE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TH"/>
    <w:basedOn w:val="1"/>
    <w:qFormat/>
    <w:uiPriority w:val="0"/>
    <w:pPr>
      <w:keepNext/>
      <w:keepLines/>
      <w:spacing w:before="60" w:after="180"/>
      <w:jc w:val="center"/>
    </w:pPr>
    <w:rPr>
      <w:b/>
      <w:lang w:eastAsia="en-US"/>
    </w:rPr>
  </w:style>
  <w:style w:type="paragraph" w:customStyle="1" w:styleId="63">
    <w:name w:val="TAH"/>
    <w:basedOn w:val="64"/>
    <w:qFormat/>
    <w:uiPriority w:val="0"/>
    <w:rPr>
      <w:b/>
    </w:rPr>
  </w:style>
  <w:style w:type="paragraph" w:customStyle="1" w:styleId="64">
    <w:name w:val="TAC"/>
    <w:basedOn w:val="57"/>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9A050-5F18-48B7-8C54-7B8C04E20AB8}">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1774</Words>
  <Characters>10116</Characters>
  <Lines>84</Lines>
  <Paragraphs>23</Paragraphs>
  <TotalTime>5</TotalTime>
  <ScaleCrop>false</ScaleCrop>
  <LinksUpToDate>false</LinksUpToDate>
  <CharactersWithSpaces>11867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2021-11-06T01:48:36Z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